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eure-et-loir"/>
      <w:r>
        <w:t xml:space="preserve">Numérique «Eure-et-Loir»</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«Centre-Val de Loire», 222 sites ont été identifiés dont 36 dans le</w:t>
      </w:r>
      <w:r>
        <w:t xml:space="preserve"> </w:t>
      </w:r>
      <w:r>
        <w:t xml:space="preserve">département, parmi eux, 25 ont d’ores et déjà été mis en</w:t>
      </w:r>
      <w:r>
        <w:t xml:space="preserve"> </w:t>
      </w:r>
      <w:r>
        <w:t xml:space="preserve">service (sur un total de 152 mis en service au niveau régional).</w:t>
      </w:r>
    </w:p>
    <w:p>
      <w:pPr>
        <w:pStyle w:val="Corpsdetexte"/>
      </w:pPr>
      <w:r>
        <w:t xml:space="preserve">Dans le cadre du dispositif 4G fixe, dans la région</w:t>
      </w:r>
      <w:r>
        <w:t xml:space="preserve"> </w:t>
      </w:r>
      <w:r>
        <w:t xml:space="preserve">«Centre-Val de Loire», 34 sites ont été identifiés dont 2 dans le</w:t>
      </w:r>
      <w:r>
        <w:t xml:space="preserve"> </w:t>
      </w:r>
      <w:r>
        <w:t xml:space="preserve">département, 2 ont déjà été mis en service</w:t>
      </w:r>
      <w:r>
        <w:t xml:space="preserve"> </w:t>
      </w:r>
      <w:r>
        <w:t xml:space="preserve">sur 27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3229"/>
            <wp:effectExtent b="0" l="0" r="0" t="0"/>
            <wp:docPr descr="" title="" id="1" name="Picture"/>
            <a:graphic>
              <a:graphicData uri="http://schemas.openxmlformats.org/drawingml/2006/picture">
                <pic:pic>
                  <pic:nvPicPr>
                    <pic:cNvPr descr="/srv/insitu/outbox/infographies/haut_débit/28.png" id="0" name="Picture"/>
                    <pic:cNvPicPr>
                      <a:picLocks noChangeArrowheads="1" noChangeAspect="1"/>
                    </pic:cNvPicPr>
                  </pic:nvPicPr>
                  <pic:blipFill>
                    <a:blip r:embed="rId23"/>
                    <a:stretch>
                      <a:fillRect/>
                    </a:stretch>
                  </pic:blipFill>
                  <pic:spPr bwMode="auto">
                    <a:xfrm>
                      <a:off x="0" y="0"/>
                      <a:ext cx="4572000" cy="2283229"/>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SFR et XP Fibre sur 185 communes ;</w:t>
      </w:r>
    </w:p>
    <w:p>
      <w:pPr>
        <w:pStyle w:val="Compact"/>
        <w:numPr>
          <w:numId w:val="1001"/>
          <w:ilvl w:val="0"/>
        </w:numPr>
      </w:pPr>
      <w:r>
        <w:t xml:space="preserve">celle de CM’IN et Orange sur 45 communes ;</w:t>
      </w:r>
    </w:p>
    <w:p>
      <w:pPr>
        <w:pStyle w:val="Compact"/>
        <w:numPr>
          <w:numId w:val="1001"/>
          <w:ilvl w:val="0"/>
        </w:numPr>
      </w:pPr>
      <w:r>
        <w:t xml:space="preserve">celle de Eure-et-Loir Numérique dans la zone d’initiative publique qui comprend 166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72 511</w:t>
            </w:r>
            <w:r>
              <w:t xml:space="preserve"> </w:t>
            </w:r>
            <w:r>
              <w:rPr>
                <w:i/>
              </w:rPr>
              <w:t xml:space="preserve">27.0%</w:t>
            </w:r>
          </w:p>
        </w:tc>
        <w:tc>
          <w:p>
            <w:pPr>
              <w:pStyle w:val="Compact"/>
              <w:jc w:val="left"/>
            </w:pPr>
            <w:r>
              <w:t xml:space="preserve">70 065</w:t>
            </w:r>
            <w:r>
              <w:t xml:space="preserve"> </w:t>
            </w:r>
            <w:r>
              <w:rPr>
                <w:i/>
              </w:rPr>
              <w:t xml:space="preserve">97.0%</w:t>
            </w:r>
          </w:p>
        </w:tc>
      </w:tr>
      <w:tr>
        <w:tc>
          <w:p>
            <w:pPr>
              <w:pStyle w:val="Compact"/>
              <w:jc w:val="left"/>
            </w:pPr>
            <w:r>
              <w:t xml:space="preserve">Zone AMII</w:t>
            </w:r>
          </w:p>
        </w:tc>
        <w:tc>
          <w:p>
            <w:pPr>
              <w:pStyle w:val="Compact"/>
              <w:jc w:val="left"/>
            </w:pPr>
            <w:r>
              <w:t xml:space="preserve">94 944</w:t>
            </w:r>
            <w:r>
              <w:t xml:space="preserve"> </w:t>
            </w:r>
            <w:r>
              <w:rPr>
                <w:i/>
              </w:rPr>
              <w:t xml:space="preserve">36.0%</w:t>
            </w:r>
          </w:p>
        </w:tc>
        <w:tc>
          <w:p>
            <w:pPr>
              <w:pStyle w:val="Compact"/>
              <w:jc w:val="left"/>
            </w:pPr>
            <w:r>
              <w:t xml:space="preserve">87 402</w:t>
            </w:r>
            <w:r>
              <w:t xml:space="preserve"> </w:t>
            </w:r>
            <w:r>
              <w:rPr>
                <w:i/>
              </w:rPr>
              <w:t xml:space="preserve">92.0%</w:t>
            </w:r>
          </w:p>
        </w:tc>
      </w:tr>
      <w:tr>
        <w:tc>
          <w:p>
            <w:pPr>
              <w:pStyle w:val="Compact"/>
              <w:jc w:val="left"/>
            </w:pPr>
            <w:r>
              <w:t xml:space="preserve">Zone RIP</w:t>
            </w:r>
          </w:p>
        </w:tc>
        <w:tc>
          <w:p>
            <w:pPr>
              <w:pStyle w:val="Compact"/>
              <w:jc w:val="left"/>
            </w:pPr>
            <w:r>
              <w:t xml:space="preserve">98 256</w:t>
            </w:r>
            <w:r>
              <w:t xml:space="preserve"> </w:t>
            </w:r>
            <w:r>
              <w:rPr>
                <w:i/>
              </w:rPr>
              <w:t xml:space="preserve">37.0%</w:t>
            </w:r>
          </w:p>
        </w:tc>
        <w:tc>
          <w:p>
            <w:pPr>
              <w:pStyle w:val="Compact"/>
              <w:jc w:val="left"/>
            </w:pPr>
            <w:r>
              <w:t xml:space="preserve">94 964</w:t>
            </w:r>
            <w:r>
              <w:t xml:space="preserve"> </w:t>
            </w:r>
            <w:r>
              <w:rPr>
                <w:i/>
              </w:rPr>
              <w:t xml:space="preserve">97.0%</w:t>
            </w:r>
          </w:p>
        </w:tc>
      </w:tr>
      <w:tr>
        <w:tc>
          <w:p>
            <w:pPr>
              <w:pStyle w:val="Compact"/>
              <w:jc w:val="left"/>
            </w:pPr>
            <w:r>
              <w:rPr>
                <w:b/>
              </w:rPr>
              <w:t xml:space="preserve">Total</w:t>
            </w:r>
          </w:p>
        </w:tc>
        <w:tc>
          <w:p>
            <w:pPr>
              <w:pStyle w:val="Compact"/>
              <w:jc w:val="left"/>
            </w:pPr>
            <w:r>
              <w:t xml:space="preserve">265 711</w:t>
            </w:r>
            <w:r>
              <w:t xml:space="preserve"> </w:t>
            </w:r>
            <w:r>
              <w:rPr>
                <w:i/>
              </w:rPr>
              <w:t xml:space="preserve">100%</w:t>
            </w:r>
          </w:p>
        </w:tc>
        <w:tc>
          <w:p>
            <w:pPr>
              <w:pStyle w:val="Compact"/>
              <w:jc w:val="left"/>
            </w:pPr>
            <w:r>
              <w:t xml:space="preserve">252 431</w:t>
            </w:r>
            <w:r>
              <w:t xml:space="preserve"> </w:t>
            </w:r>
            <w:r>
              <w:rPr>
                <w:i/>
              </w:rPr>
              <w:t xml:space="preserve">95.0%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«Centre-Val de Loire» et 2 dans le département :</w:t>
      </w:r>
    </w:p>
    <w:p>
      <w:pPr>
        <w:pStyle w:val="Compact"/>
        <w:numPr>
          <w:numId w:val="1002"/>
          <w:ilvl w:val="0"/>
        </w:numPr>
      </w:pPr>
      <w:r>
        <w:t xml:space="preserve">BETAMACHINE à Chartres</w:t>
      </w:r>
    </w:p>
    <w:p>
      <w:pPr>
        <w:pStyle w:val="Compact"/>
        <w:numPr>
          <w:numId w:val="1002"/>
          <w:ilvl w:val="0"/>
        </w:numPr>
      </w:pPr>
      <w:r>
        <w:t xml:space="preserve">Cse Jules Verne Leo Lagrange Nord Ile De France à Mainvilliers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«Centre-Val de Loire» est couverte par le(s) Hub(s) :</w:t>
      </w:r>
      <w:r>
        <w:t xml:space="preserve"> </w:t>
      </w:r>
      <w:r>
        <w:t xml:space="preserve">Hub-Lo.</w:t>
      </w:r>
    </w:p>
    <w:p>
      <w:pPr>
        <w:pStyle w:val="Titre2"/>
      </w:pPr>
      <w:bookmarkStart w:id="27" w:name="conseillers-numériques"/>
      <w:r>
        <w:t xml:space="preserve">Conseillers numériques</w:t>
      </w:r>
      <w:bookmarkEnd w:id="27"/>
    </w:p>
    <w:p>
      <w:pPr>
        <w:pStyle w:val="Compact"/>
        <w:numPr>
          <w:numId w:val="1003"/>
          <w:ilvl w:val="0"/>
        </w:numPr>
      </w:pPr>
      <w:r>
        <w:t xml:space="preserve">22 CNFS validés dans 8 structures d’accueil</w:t>
      </w:r>
    </w:p>
    <w:p>
      <w:pPr>
        <w:pStyle w:val="Compact"/>
        <w:numPr>
          <w:numId w:val="1003"/>
          <w:ilvl w:val="0"/>
        </w:numPr>
      </w:pPr>
      <w:r>
        <w:t xml:space="preserve">20 CNFS recrutés</w:t>
      </w:r>
    </w:p>
    <w:p>
      <w:pPr>
        <w:pStyle w:val="Compact"/>
        <w:numPr>
          <w:numId w:val="1003"/>
          <w:ilvl w:val="0"/>
        </w:numPr>
      </w:pPr>
      <w:r>
        <w:t xml:space="preserve">0 CNFS en formation</w:t>
      </w:r>
    </w:p>
    <w:p>
      <w:pPr>
        <w:pStyle w:val="Compact"/>
        <w:numPr>
          <w:numId w:val="1003"/>
          <w:ilvl w:val="0"/>
        </w:numPr>
      </w:pPr>
      <w:r>
        <w:t xml:space="preserve">15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41 structures candidates</w:t>
      </w:r>
    </w:p>
    <w:p>
      <w:pPr>
        <w:pStyle w:val="Compact"/>
        <w:numPr>
          <w:numId w:val="1004"/>
          <w:ilvl w:val="0"/>
        </w:numPr>
      </w:pPr>
      <w:r>
        <w:t xml:space="preserve">142 aidants à habiliter au total</w:t>
      </w:r>
    </w:p>
    <w:p>
      <w:pPr>
        <w:pStyle w:val="Compact"/>
        <w:numPr>
          <w:numId w:val="1004"/>
          <w:ilvl w:val="0"/>
        </w:numPr>
      </w:pPr>
      <w:r>
        <w:t xml:space="preserve">38 structures ont finalisé leur habilitation (114 aidants formés au 16 septembre 2024)</w:t>
      </w:r>
    </w:p>
    <w:p>
      <w:pPr>
        <w:pStyle w:val="Titre2"/>
      </w:pPr>
      <w:bookmarkStart w:id="29" w:name="bases-adresses-locales"/>
      <w:r>
        <w:t xml:space="preserve">Bases adresses locales</w:t>
      </w:r>
      <w:bookmarkEnd w:id="29"/>
    </w:p>
    <w:p>
      <w:pPr>
        <w:pStyle w:val="FirstParagraph"/>
      </w:pPr>
      <w:r>
        <w:t xml:space="preserve">162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2024-09-19T02:14:53Z</dcterms:created>
  <dcterms:modified xsi:type="dcterms:W3CDTF">2024-09-19T02:14:53Z</dcterms:modified>
</cp:coreProperties>
</file>

<file path=docProps/custom.xml><?xml version="1.0" encoding="utf-8"?>
<Properties xmlns="http://schemas.openxmlformats.org/officeDocument/2006/custom-properties" xmlns:vt="http://schemas.openxmlformats.org/officeDocument/2006/docPropsVTypes"/>
</file>