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eure"/>
      <w:r>
        <w:t xml:space="preserve">Numérique «Eure»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«Normandie», 205 sites ont été identifiés dont 51 dans le</w:t>
      </w:r>
      <w:r>
        <w:t xml:space="preserve"> </w:t>
      </w:r>
      <w:r>
        <w:t xml:space="preserve">département, parmi eux, 39 ont d’ores et déjà été mis en</w:t>
      </w:r>
      <w:r>
        <w:t xml:space="preserve"> </w:t>
      </w:r>
      <w:r>
        <w:t xml:space="preserve">service (sur un total de 144 mis en service au niveau régional).</w:t>
      </w:r>
    </w:p>
    <w:p>
      <w:pPr>
        <w:pStyle w:val="Corpsdetexte"/>
      </w:pPr>
      <w:r>
        <w:t xml:space="preserve">Dans le cadre du dispositif 4G fixe, dans la région</w:t>
      </w:r>
      <w:r>
        <w:t xml:space="preserve"> </w:t>
      </w:r>
      <w:r>
        <w:t xml:space="preserve">«Normandie», 124 sites ont été identifiés dont 9 dans le</w:t>
      </w:r>
      <w:r>
        <w:t xml:space="preserve"> </w:t>
      </w:r>
      <w:r>
        <w:t xml:space="preserve">département, 8 ont déjà été mis en service</w:t>
      </w:r>
      <w:r>
        <w:t xml:space="preserve"> </w:t>
      </w:r>
      <w:r>
        <w:t xml:space="preserve">sur 95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3229"/>
            <wp:effectExtent b="0" l="0" r="0" t="0"/>
            <wp:docPr descr="" title="" id="1" name="Picture"/>
            <a:graphic>
              <a:graphicData uri="http://schemas.openxmlformats.org/drawingml/2006/picture">
                <pic:pic>
                  <pic:nvPicPr>
                    <pic:cNvPr descr="/srv/insitu/outbox/infographies/haut_débit/27.png" id="0" name="Picture"/>
                    <pic:cNvPicPr>
                      <a:picLocks noChangeArrowheads="1" noChangeAspect="1"/>
                    </pic:cNvPicPr>
                  </pic:nvPicPr>
                  <pic:blipFill>
                    <a:blip r:embed="rId23"/>
                    <a:stretch>
                      <a:fillRect/>
                    </a:stretch>
                  </pic:blipFill>
                  <pic:spPr bwMode="auto">
                    <a:xfrm>
                      <a:off x="0" y="0"/>
                      <a:ext cx="4572000" cy="2283229"/>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et XP Fibre sur 39 communes ;</w:t>
      </w:r>
    </w:p>
    <w:p>
      <w:pPr>
        <w:pStyle w:val="Compact"/>
        <w:numPr>
          <w:numId w:val="1001"/>
          <w:ilvl w:val="0"/>
        </w:numPr>
      </w:pPr>
      <w:r>
        <w:t xml:space="preserve">celle de Eure-et-Loir Numérique, Eure Normandie Numérique et Seine-Maritime Numérique dans la zone d’initiative publique qui comprend 545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78 439</w:t>
            </w:r>
            <w:r>
              <w:t xml:space="preserve"> </w:t>
            </w:r>
            <w:r>
              <w:rPr>
                <w:i/>
              </w:rPr>
              <w:t xml:space="preserve">23.0%</w:t>
            </w:r>
          </w:p>
        </w:tc>
        <w:tc>
          <w:p>
            <w:pPr>
              <w:pStyle w:val="Compact"/>
              <w:jc w:val="left"/>
            </w:pPr>
            <w:r>
              <w:t xml:space="preserve">73 336</w:t>
            </w:r>
            <w:r>
              <w:t xml:space="preserve"> </w:t>
            </w:r>
            <w:r>
              <w:rPr>
                <w:i/>
              </w:rPr>
              <w:t xml:space="preserve">93.0%</w:t>
            </w:r>
          </w:p>
        </w:tc>
      </w:tr>
      <w:tr>
        <w:tc>
          <w:p>
            <w:pPr>
              <w:pStyle w:val="Compact"/>
              <w:jc w:val="left"/>
            </w:pPr>
            <w:r>
              <w:t xml:space="preserve">Zone RIP</w:t>
            </w:r>
          </w:p>
        </w:tc>
        <w:tc>
          <w:p>
            <w:pPr>
              <w:pStyle w:val="Compact"/>
              <w:jc w:val="left"/>
            </w:pPr>
            <w:r>
              <w:t xml:space="preserve">270 153</w:t>
            </w:r>
            <w:r>
              <w:t xml:space="preserve"> </w:t>
            </w:r>
            <w:r>
              <w:rPr>
                <w:i/>
              </w:rPr>
              <w:t xml:space="preserve">77.0%</w:t>
            </w:r>
          </w:p>
        </w:tc>
        <w:tc>
          <w:p>
            <w:pPr>
              <w:pStyle w:val="Compact"/>
              <w:jc w:val="left"/>
            </w:pPr>
            <w:r>
              <w:t xml:space="preserve">256 584</w:t>
            </w:r>
            <w:r>
              <w:t xml:space="preserve"> </w:t>
            </w:r>
            <w:r>
              <w:rPr>
                <w:i/>
              </w:rPr>
              <w:t xml:space="preserve">95.0%</w:t>
            </w:r>
          </w:p>
        </w:tc>
      </w:tr>
      <w:tr>
        <w:tc>
          <w:p>
            <w:pPr>
              <w:pStyle w:val="Compact"/>
              <w:jc w:val="left"/>
            </w:pPr>
            <w:r>
              <w:rPr>
                <w:b/>
              </w:rPr>
              <w:t xml:space="preserve">Total</w:t>
            </w:r>
          </w:p>
        </w:tc>
        <w:tc>
          <w:p>
            <w:pPr>
              <w:pStyle w:val="Compact"/>
              <w:jc w:val="left"/>
            </w:pPr>
            <w:r>
              <w:t xml:space="preserve">348 592</w:t>
            </w:r>
            <w:r>
              <w:t xml:space="preserve"> </w:t>
            </w:r>
            <w:r>
              <w:rPr>
                <w:i/>
              </w:rPr>
              <w:t xml:space="preserve">100%</w:t>
            </w:r>
          </w:p>
        </w:tc>
        <w:tc>
          <w:p>
            <w:pPr>
              <w:pStyle w:val="Compact"/>
              <w:jc w:val="left"/>
            </w:pPr>
            <w:r>
              <w:t xml:space="preserve">329 920</w:t>
            </w:r>
            <w:r>
              <w:t xml:space="preserve"> </w:t>
            </w:r>
            <w:r>
              <w:rPr>
                <w:i/>
              </w:rPr>
              <w:t xml:space="preserve">95.0%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13 en région «Normandie» et 3 dans le département :</w:t>
      </w:r>
    </w:p>
    <w:p>
      <w:pPr>
        <w:pStyle w:val="Compact"/>
        <w:numPr>
          <w:numId w:val="1002"/>
          <w:ilvl w:val="0"/>
        </w:numPr>
      </w:pPr>
      <w:r>
        <w:t xml:space="preserve">Ateliers InSitu à Fontaine-l’Abbé</w:t>
      </w:r>
    </w:p>
    <w:p>
      <w:pPr>
        <w:pStyle w:val="Compact"/>
        <w:numPr>
          <w:numId w:val="1002"/>
          <w:ilvl w:val="0"/>
        </w:numPr>
      </w:pPr>
      <w:r>
        <w:t xml:space="preserve">Mairie de Val-de-Reuil à Val-de-Reuil</w:t>
      </w:r>
    </w:p>
    <w:p>
      <w:pPr>
        <w:pStyle w:val="Compact"/>
        <w:numPr>
          <w:numId w:val="1002"/>
          <w:ilvl w:val="0"/>
        </w:numPr>
      </w:pPr>
      <w:r>
        <w:t xml:space="preserve">La Manufacture des Capucins à Vernon</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L’ÂGE DE FAIRE (Fontaine-l’Abbé)</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«Normandie» est couverte par le(s) Hub(s) :</w:t>
      </w:r>
      <w:r>
        <w:t xml:space="preserve"> </w:t>
      </w:r>
      <w:r>
        <w:t xml:space="preserve">Normandie.</w:t>
      </w:r>
    </w:p>
    <w:p>
      <w:pPr>
        <w:pStyle w:val="Titre2"/>
      </w:pPr>
      <w:bookmarkStart w:id="27" w:name="conseillers-numériques"/>
      <w:r>
        <w:t xml:space="preserve">Conseillers numériques</w:t>
      </w:r>
      <w:bookmarkEnd w:id="27"/>
    </w:p>
    <w:p>
      <w:pPr>
        <w:pStyle w:val="Compact"/>
        <w:numPr>
          <w:numId w:val="1004"/>
          <w:ilvl w:val="0"/>
        </w:numPr>
      </w:pPr>
      <w:r>
        <w:t xml:space="preserve">40 CNFS validés dans 29 structures d’accueil</w:t>
      </w:r>
    </w:p>
    <w:p>
      <w:pPr>
        <w:pStyle w:val="Compact"/>
        <w:numPr>
          <w:numId w:val="1004"/>
          <w:ilvl w:val="0"/>
        </w:numPr>
      </w:pPr>
      <w:r>
        <w:t xml:space="preserve">35 CNFS recrutés</w:t>
      </w:r>
    </w:p>
    <w:p>
      <w:pPr>
        <w:pStyle w:val="Compact"/>
        <w:numPr>
          <w:numId w:val="1004"/>
          <w:ilvl w:val="0"/>
        </w:numPr>
      </w:pPr>
      <w:r>
        <w:t xml:space="preserve">1 CNFS en formation</w:t>
      </w:r>
    </w:p>
    <w:p>
      <w:pPr>
        <w:pStyle w:val="Compact"/>
        <w:numPr>
          <w:numId w:val="1004"/>
          <w:ilvl w:val="0"/>
        </w:numPr>
      </w:pPr>
      <w:r>
        <w:t xml:space="preserve">32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44 structures candidates</w:t>
      </w:r>
    </w:p>
    <w:p>
      <w:pPr>
        <w:pStyle w:val="Compact"/>
        <w:numPr>
          <w:numId w:val="1005"/>
          <w:ilvl w:val="0"/>
        </w:numPr>
      </w:pPr>
      <w:r>
        <w:t xml:space="preserve">131 aidants à habiliter au total</w:t>
      </w:r>
    </w:p>
    <w:p>
      <w:pPr>
        <w:pStyle w:val="Compact"/>
        <w:numPr>
          <w:numId w:val="1005"/>
          <w:ilvl w:val="0"/>
        </w:numPr>
      </w:pPr>
      <w:r>
        <w:t xml:space="preserve">38 structures ont finalisé leur habilitation (98 aidants formés au 16 septembre 2024)</w:t>
      </w:r>
    </w:p>
    <w:p>
      <w:pPr>
        <w:pStyle w:val="Titre2"/>
      </w:pPr>
      <w:bookmarkStart w:id="29" w:name="bases-adresses-locales"/>
      <w:r>
        <w:t xml:space="preserve">Bases adresses locales</w:t>
      </w:r>
      <w:bookmarkEnd w:id="29"/>
    </w:p>
    <w:p>
      <w:pPr>
        <w:pStyle w:val="FirstParagraph"/>
      </w:pPr>
      <w:r>
        <w:t xml:space="preserve">246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2024-09-19T02:14:51Z</dcterms:created>
  <dcterms:modified xsi:type="dcterms:W3CDTF">2024-09-19T02:14:51Z</dcterms:modified>
</cp:coreProperties>
</file>

<file path=docProps/custom.xml><?xml version="1.0" encoding="utf-8"?>
<Properties xmlns="http://schemas.openxmlformats.org/officeDocument/2006/custom-properties" xmlns:vt="http://schemas.openxmlformats.org/officeDocument/2006/docPropsVTypes"/>
</file>