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doubs"/>
      <w:r>
        <w:t xml:space="preserve">Numérique «Doubs»</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«Bourgogne-Franche-Comté», 452 sites ont été identifiés dont 84 dans le</w:t>
      </w:r>
      <w:r>
        <w:t xml:space="preserve"> </w:t>
      </w:r>
      <w:r>
        <w:t xml:space="preserve">département, parmi eux, 52 ont d’ores et déjà été mis en</w:t>
      </w:r>
      <w:r>
        <w:t xml:space="preserve"> </w:t>
      </w:r>
      <w:r>
        <w:t xml:space="preserve">service (sur un total de 304 mis en service au niveau régional).</w:t>
      </w:r>
    </w:p>
    <w:p>
      <w:pPr>
        <w:pStyle w:val="Corpsdetexte"/>
      </w:pPr>
      <w:r>
        <w:t xml:space="preserve">Dans le cadre du dispositif 4G fixe, dans la région</w:t>
      </w:r>
      <w:r>
        <w:t xml:space="preserve"> </w:t>
      </w:r>
      <w:r>
        <w:t xml:space="preserve">«Bourgogne-Franche-Comté», 87 sites ont été identifiés dont 15 dans le</w:t>
      </w:r>
      <w:r>
        <w:t xml:space="preserve"> </w:t>
      </w:r>
      <w:r>
        <w:t xml:space="preserve">département, 9 ont déjà été mis en service</w:t>
      </w:r>
      <w:r>
        <w:t xml:space="preserve"> </w:t>
      </w:r>
      <w:r>
        <w:t xml:space="preserve">sur 59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91562"/>
            <wp:effectExtent b="0" l="0" r="0" t="0"/>
            <wp:docPr descr="" title="" id="1" name="Picture"/>
            <a:graphic>
              <a:graphicData uri="http://schemas.openxmlformats.org/drawingml/2006/picture">
                <pic:pic>
                  <pic:nvPicPr>
                    <pic:cNvPr descr="/srv/insitu/outbox/infographies/haut_débit/25.png" id="0" name="Picture"/>
                    <pic:cNvPicPr>
                      <a:picLocks noChangeArrowheads="1" noChangeAspect="1"/>
                    </pic:cNvPicPr>
                  </pic:nvPicPr>
                  <pic:blipFill>
                    <a:blip r:embed="rId23"/>
                    <a:stretch>
                      <a:fillRect/>
                    </a:stretch>
                  </pic:blipFill>
                  <pic:spPr bwMode="auto">
                    <a:xfrm>
                      <a:off x="0" y="0"/>
                      <a:ext cx="4572000" cy="2291562"/>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et XP Fibre sur 83 communes ;</w:t>
      </w:r>
    </w:p>
    <w:p>
      <w:pPr>
        <w:pStyle w:val="Compact"/>
        <w:numPr>
          <w:numId w:val="1001"/>
          <w:ilvl w:val="0"/>
        </w:numPr>
      </w:pPr>
      <w:r>
        <w:t xml:space="preserve">celle de Doubs THD dans la zone d’initiative publique qui comprend 486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194 786</w:t>
            </w:r>
            <w:r>
              <w:t xml:space="preserve"> </w:t>
            </w:r>
            <w:r>
              <w:rPr>
                <w:i/>
              </w:rPr>
              <w:t xml:space="preserve">57.0%</w:t>
            </w:r>
          </w:p>
        </w:tc>
        <w:tc>
          <w:p>
            <w:pPr>
              <w:pStyle w:val="Compact"/>
              <w:jc w:val="left"/>
            </w:pPr>
            <w:r>
              <w:t xml:space="preserve">170 456</w:t>
            </w:r>
            <w:r>
              <w:t xml:space="preserve"> </w:t>
            </w:r>
            <w:r>
              <w:rPr>
                <w:i/>
              </w:rPr>
              <w:t xml:space="preserve">88.0%</w:t>
            </w:r>
          </w:p>
        </w:tc>
      </w:tr>
      <w:tr>
        <w:tc>
          <w:p>
            <w:pPr>
              <w:pStyle w:val="Compact"/>
              <w:jc w:val="left"/>
            </w:pPr>
            <w:r>
              <w:t xml:space="preserve">Zone RIP</w:t>
            </w:r>
          </w:p>
        </w:tc>
        <w:tc>
          <w:p>
            <w:pPr>
              <w:pStyle w:val="Compact"/>
              <w:jc w:val="left"/>
            </w:pPr>
            <w:r>
              <w:t xml:space="preserve">147 880</w:t>
            </w:r>
            <w:r>
              <w:t xml:space="preserve"> </w:t>
            </w:r>
            <w:r>
              <w:rPr>
                <w:i/>
              </w:rPr>
              <w:t xml:space="preserve">43.0%</w:t>
            </w:r>
          </w:p>
        </w:tc>
        <w:tc>
          <w:p>
            <w:pPr>
              <w:pStyle w:val="Compact"/>
              <w:jc w:val="left"/>
            </w:pPr>
            <w:r>
              <w:t xml:space="preserve">140 072</w:t>
            </w:r>
            <w:r>
              <w:t xml:space="preserve"> </w:t>
            </w:r>
            <w:r>
              <w:rPr>
                <w:i/>
              </w:rPr>
              <w:t xml:space="preserve">95.0%</w:t>
            </w:r>
          </w:p>
        </w:tc>
      </w:tr>
      <w:tr>
        <w:tc>
          <w:p>
            <w:pPr>
              <w:pStyle w:val="Compact"/>
              <w:jc w:val="left"/>
            </w:pPr>
            <w:r>
              <w:rPr>
                <w:b/>
              </w:rPr>
              <w:t xml:space="preserve">Total</w:t>
            </w:r>
          </w:p>
        </w:tc>
        <w:tc>
          <w:p>
            <w:pPr>
              <w:pStyle w:val="Compact"/>
              <w:jc w:val="left"/>
            </w:pPr>
            <w:r>
              <w:t xml:space="preserve">342 666</w:t>
            </w:r>
            <w:r>
              <w:t xml:space="preserve"> </w:t>
            </w:r>
            <w:r>
              <w:rPr>
                <w:i/>
              </w:rPr>
              <w:t xml:space="preserve">100%</w:t>
            </w:r>
          </w:p>
        </w:tc>
        <w:tc>
          <w:p>
            <w:pPr>
              <w:pStyle w:val="Compact"/>
              <w:jc w:val="left"/>
            </w:pPr>
            <w:r>
              <w:t xml:space="preserve">310 528</w:t>
            </w:r>
            <w:r>
              <w:t xml:space="preserve"> </w:t>
            </w:r>
            <w:r>
              <w:rPr>
                <w:i/>
              </w:rPr>
              <w:t xml:space="preserve">91.0%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17 en région «Bourgogne-Franche-Comté» et 4 dans le département :</w:t>
      </w:r>
    </w:p>
    <w:p>
      <w:pPr>
        <w:pStyle w:val="Compact"/>
        <w:numPr>
          <w:numId w:val="1002"/>
          <w:ilvl w:val="0"/>
        </w:numPr>
      </w:pPr>
      <w:r>
        <w:t xml:space="preserve">CU Grand Besançon Métropole Communauté urbaine à Besançon</w:t>
      </w:r>
    </w:p>
    <w:p>
      <w:pPr>
        <w:pStyle w:val="Compact"/>
        <w:numPr>
          <w:numId w:val="1002"/>
          <w:ilvl w:val="0"/>
        </w:numPr>
      </w:pPr>
      <w:r>
        <w:t xml:space="preserve">L’arÊTE à Besançon</w:t>
      </w:r>
    </w:p>
    <w:p>
      <w:pPr>
        <w:pStyle w:val="Compact"/>
        <w:numPr>
          <w:numId w:val="1002"/>
          <w:ilvl w:val="0"/>
        </w:numPr>
      </w:pPr>
      <w:r>
        <w:t xml:space="preserve">FAMILLES RURALES FEDERATION DEPARTEMENTALE DU DOUBS à Les Premiers Sapins</w:t>
      </w:r>
    </w:p>
    <w:p>
      <w:pPr>
        <w:pStyle w:val="Compact"/>
        <w:numPr>
          <w:numId w:val="1002"/>
          <w:ilvl w:val="0"/>
        </w:numPr>
      </w:pPr>
      <w:r>
        <w:t xml:space="preserve">KLAB à Pontarlier</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L’atelier-usine (Besançon)</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«Bourgogne-Franche-Comté» est couverte par le(s) Hub(s) :</w:t>
      </w:r>
      <w:r>
        <w:t xml:space="preserve"> </w:t>
      </w:r>
      <w:r>
        <w:t xml:space="preserve">Hub MedNum BFC.</w:t>
      </w:r>
    </w:p>
    <w:p>
      <w:pPr>
        <w:pStyle w:val="Titre2"/>
      </w:pPr>
      <w:bookmarkStart w:id="27" w:name="conseillers-numériques"/>
      <w:r>
        <w:t xml:space="preserve">Conseillers numériques</w:t>
      </w:r>
      <w:bookmarkEnd w:id="27"/>
    </w:p>
    <w:p>
      <w:pPr>
        <w:pStyle w:val="Compact"/>
        <w:numPr>
          <w:numId w:val="1004"/>
          <w:ilvl w:val="0"/>
        </w:numPr>
      </w:pPr>
      <w:r>
        <w:t xml:space="preserve">38 CNFS validés dans 29 structures d’accueil</w:t>
      </w:r>
    </w:p>
    <w:p>
      <w:pPr>
        <w:pStyle w:val="Compact"/>
        <w:numPr>
          <w:numId w:val="1004"/>
          <w:ilvl w:val="0"/>
        </w:numPr>
      </w:pPr>
      <w:r>
        <w:t xml:space="preserve">21 CNFS recrutés</w:t>
      </w:r>
    </w:p>
    <w:p>
      <w:pPr>
        <w:pStyle w:val="Compact"/>
        <w:numPr>
          <w:numId w:val="1004"/>
          <w:ilvl w:val="0"/>
        </w:numPr>
      </w:pPr>
      <w:r>
        <w:t xml:space="preserve">1 CNFS en formation</w:t>
      </w:r>
    </w:p>
    <w:p>
      <w:pPr>
        <w:pStyle w:val="Compact"/>
        <w:numPr>
          <w:numId w:val="1004"/>
          <w:ilvl w:val="0"/>
        </w:numPr>
      </w:pPr>
      <w:r>
        <w:t xml:space="preserve">17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59 structures candidates</w:t>
      </w:r>
    </w:p>
    <w:p>
      <w:pPr>
        <w:pStyle w:val="Compact"/>
        <w:numPr>
          <w:numId w:val="1005"/>
          <w:ilvl w:val="0"/>
        </w:numPr>
      </w:pPr>
      <w:r>
        <w:t xml:space="preserve">214 aidants à habiliter au total</w:t>
      </w:r>
    </w:p>
    <w:p>
      <w:pPr>
        <w:pStyle w:val="Compact"/>
        <w:numPr>
          <w:numId w:val="1005"/>
          <w:ilvl w:val="0"/>
        </w:numPr>
      </w:pPr>
      <w:r>
        <w:t xml:space="preserve">57 structures ont finalisé leur habilitation (187 aidants formés au 16 septembre 2024)</w:t>
      </w:r>
    </w:p>
    <w:p>
      <w:pPr>
        <w:pStyle w:val="Titre2"/>
      </w:pPr>
      <w:bookmarkStart w:id="29" w:name="bases-adresses-locales"/>
      <w:r>
        <w:t xml:space="preserve">Bases adresses locales</w:t>
      </w:r>
      <w:bookmarkEnd w:id="29"/>
    </w:p>
    <w:p>
      <w:pPr>
        <w:pStyle w:val="FirstParagraph"/>
      </w:pPr>
      <w:r>
        <w:t xml:space="preserve">292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2024-09-19T02:14:46Z</dcterms:created>
  <dcterms:modified xsi:type="dcterms:W3CDTF">2024-09-19T02:14:46Z</dcterms:modified>
</cp:coreProperties>
</file>

<file path=docProps/custom.xml><?xml version="1.0" encoding="utf-8"?>
<Properties xmlns="http://schemas.openxmlformats.org/officeDocument/2006/custom-properties" xmlns:vt="http://schemas.openxmlformats.org/officeDocument/2006/docPropsVTypes"/>
</file>