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dordogne"/>
      <w:r>
        <w:t xml:space="preserve">Numérique «Dordogne»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72 dans le</w:t>
      </w:r>
      <w:r>
        <w:t xml:space="preserve"> </w:t>
      </w:r>
      <w:r>
        <w:t xml:space="preserve">département, parmi eux, 48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39 dans le</w:t>
      </w:r>
      <w:r>
        <w:t xml:space="preserve"> </w:t>
      </w:r>
      <w:r>
        <w:t xml:space="preserve">département, 22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34156"/>
            <wp:effectExtent b="0" l="0" r="0" t="0"/>
            <wp:docPr descr="" title="" id="1" name="Picture"/>
            <a:graphic>
              <a:graphicData uri="http://schemas.openxmlformats.org/drawingml/2006/picture">
                <pic:pic>
                  <pic:nvPicPr>
                    <pic:cNvPr descr="/srv/insitu/outbox/infographies/haut_débit/24.png" id="0" name="Picture"/>
                    <pic:cNvPicPr>
                      <a:picLocks noChangeArrowheads="1" noChangeAspect="1"/>
                    </pic:cNvPicPr>
                  </pic:nvPicPr>
                  <pic:blipFill>
                    <a:blip r:embed="rId23"/>
                    <a:stretch>
                      <a:fillRect/>
                    </a:stretch>
                  </pic:blipFill>
                  <pic:spPr bwMode="auto">
                    <a:xfrm>
                      <a:off x="0" y="0"/>
                      <a:ext cx="4572000" cy="23341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14 communes ;</w:t>
      </w:r>
    </w:p>
    <w:p>
      <w:pPr>
        <w:pStyle w:val="Compact"/>
        <w:numPr>
          <w:numId w:val="1001"/>
          <w:ilvl w:val="0"/>
        </w:numPr>
      </w:pPr>
      <w:r>
        <w:t xml:space="preserve">celle de Périgord Numérique dans la zone d’initiative publique qui comprend 490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71 714</w:t>
            </w:r>
            <w:r>
              <w:t xml:space="preserve"> </w:t>
            </w:r>
            <w:r>
              <w:rPr>
                <w:i/>
              </w:rPr>
              <w:t xml:space="preserve">23.0%</w:t>
            </w:r>
          </w:p>
        </w:tc>
        <w:tc>
          <w:p>
            <w:pPr>
              <w:pStyle w:val="Compact"/>
              <w:jc w:val="left"/>
            </w:pPr>
            <w:r>
              <w:t xml:space="preserve">61 879</w:t>
            </w:r>
            <w:r>
              <w:t xml:space="preserve"> </w:t>
            </w:r>
            <w:r>
              <w:rPr>
                <w:i/>
              </w:rPr>
              <w:t xml:space="preserve">86.0%</w:t>
            </w:r>
          </w:p>
        </w:tc>
      </w:tr>
      <w:tr>
        <w:tc>
          <w:p>
            <w:pPr>
              <w:pStyle w:val="Compact"/>
              <w:jc w:val="left"/>
            </w:pPr>
            <w:r>
              <w:t xml:space="preserve">Zone RIP</w:t>
            </w:r>
          </w:p>
        </w:tc>
        <w:tc>
          <w:p>
            <w:pPr>
              <w:pStyle w:val="Compact"/>
              <w:jc w:val="left"/>
            </w:pPr>
            <w:r>
              <w:t xml:space="preserve">236 396</w:t>
            </w:r>
            <w:r>
              <w:t xml:space="preserve"> </w:t>
            </w:r>
            <w:r>
              <w:rPr>
                <w:i/>
              </w:rPr>
              <w:t xml:space="preserve">77.0%</w:t>
            </w:r>
          </w:p>
        </w:tc>
        <w:tc>
          <w:p>
            <w:pPr>
              <w:pStyle w:val="Compact"/>
              <w:jc w:val="left"/>
            </w:pPr>
            <w:r>
              <w:t xml:space="preserve">143 171</w:t>
            </w:r>
            <w:r>
              <w:t xml:space="preserve"> </w:t>
            </w:r>
            <w:r>
              <w:rPr>
                <w:i/>
              </w:rPr>
              <w:t xml:space="preserve">61.0%</w:t>
            </w:r>
          </w:p>
        </w:tc>
      </w:tr>
      <w:tr>
        <w:tc>
          <w:p>
            <w:pPr>
              <w:pStyle w:val="Compact"/>
              <w:jc w:val="left"/>
            </w:pPr>
            <w:r>
              <w:rPr>
                <w:b/>
              </w:rPr>
              <w:t xml:space="preserve">Total</w:t>
            </w:r>
          </w:p>
        </w:tc>
        <w:tc>
          <w:p>
            <w:pPr>
              <w:pStyle w:val="Compact"/>
              <w:jc w:val="left"/>
            </w:pPr>
            <w:r>
              <w:t xml:space="preserve">308 110</w:t>
            </w:r>
            <w:r>
              <w:t xml:space="preserve"> </w:t>
            </w:r>
            <w:r>
              <w:rPr>
                <w:i/>
              </w:rPr>
              <w:t xml:space="preserve">100%</w:t>
            </w:r>
          </w:p>
        </w:tc>
        <w:tc>
          <w:p>
            <w:pPr>
              <w:pStyle w:val="Compact"/>
              <w:jc w:val="left"/>
            </w:pPr>
            <w:r>
              <w:t xml:space="preserve">205 050</w:t>
            </w:r>
            <w:r>
              <w:t xml:space="preserve"> </w:t>
            </w:r>
            <w:r>
              <w:rPr>
                <w:i/>
              </w:rPr>
              <w:t xml:space="preserve">67.0%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2 dans le département :</w:t>
      </w:r>
    </w:p>
    <w:p>
      <w:pPr>
        <w:pStyle w:val="Compact"/>
        <w:numPr>
          <w:numId w:val="1002"/>
          <w:ilvl w:val="0"/>
        </w:numPr>
      </w:pPr>
      <w:r>
        <w:t xml:space="preserve">La WAB (SCIC - Société Coopérative d’Intérêt Collectif) à Bergerac</w:t>
      </w:r>
    </w:p>
    <w:p>
      <w:pPr>
        <w:pStyle w:val="Compact"/>
        <w:numPr>
          <w:numId w:val="1002"/>
          <w:ilvl w:val="0"/>
        </w:numPr>
      </w:pPr>
      <w:r>
        <w:t xml:space="preserve">Communauté d’agglomération Le Grand Périgueux à Périgueux</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3"/>
          <w:ilvl w:val="0"/>
        </w:numPr>
      </w:pPr>
      <w:r>
        <w:t xml:space="preserve">35 CNFS validés dans 29 structures d’accueil</w:t>
      </w:r>
    </w:p>
    <w:p>
      <w:pPr>
        <w:pStyle w:val="Compact"/>
        <w:numPr>
          <w:numId w:val="1003"/>
          <w:ilvl w:val="0"/>
        </w:numPr>
      </w:pPr>
      <w:r>
        <w:t xml:space="preserve">31 CNFS recrutés</w:t>
      </w:r>
    </w:p>
    <w:p>
      <w:pPr>
        <w:pStyle w:val="Compact"/>
        <w:numPr>
          <w:numId w:val="1003"/>
          <w:ilvl w:val="0"/>
        </w:numPr>
      </w:pPr>
      <w:r>
        <w:t xml:space="preserve">0 CNFS en formation</w:t>
      </w:r>
    </w:p>
    <w:p>
      <w:pPr>
        <w:pStyle w:val="Compact"/>
        <w:numPr>
          <w:numId w:val="1003"/>
          <w:ilvl w:val="0"/>
        </w:numPr>
      </w:pPr>
      <w:r>
        <w:t xml:space="preserve">28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44 structures candidates</w:t>
      </w:r>
    </w:p>
    <w:p>
      <w:pPr>
        <w:pStyle w:val="Compact"/>
        <w:numPr>
          <w:numId w:val="1004"/>
          <w:ilvl w:val="0"/>
        </w:numPr>
      </w:pPr>
      <w:r>
        <w:t xml:space="preserve">113 aidants à habiliter au total</w:t>
      </w:r>
    </w:p>
    <w:p>
      <w:pPr>
        <w:pStyle w:val="Compact"/>
        <w:numPr>
          <w:numId w:val="1004"/>
          <w:ilvl w:val="0"/>
        </w:numPr>
      </w:pPr>
      <w:r>
        <w:t xml:space="preserve">42 structures ont finalisé leur habilitation (96 aidants formés au 16 septembre 2024)</w:t>
      </w:r>
    </w:p>
    <w:p>
      <w:pPr>
        <w:pStyle w:val="Titre2"/>
      </w:pPr>
      <w:bookmarkStart w:id="29" w:name="bases-adresses-locales"/>
      <w:r>
        <w:t xml:space="preserve">Bases adresses locales</w:t>
      </w:r>
      <w:bookmarkEnd w:id="29"/>
    </w:p>
    <w:p>
      <w:pPr>
        <w:pStyle w:val="FirstParagraph"/>
      </w:pPr>
      <w:r>
        <w:t xml:space="preserve">489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2024-09-19T02:14:44Z</dcterms:created>
  <dcterms:modified xsi:type="dcterms:W3CDTF">2024-09-19T02:14:44Z</dcterms:modified>
</cp:coreProperties>
</file>

<file path=docProps/custom.xml><?xml version="1.0" encoding="utf-8"?>
<Properties xmlns="http://schemas.openxmlformats.org/officeDocument/2006/custom-properties" xmlns:vt="http://schemas.openxmlformats.org/officeDocument/2006/docPropsVTypes"/>
</file>