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côte-dor"/>
      <w:r>
        <w:t xml:space="preserve">Numérique «Côte-d’Or»</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«Bourgogne-Franche-Comté», 452 sites ont été identifiés dont 51 dans le</w:t>
      </w:r>
      <w:r>
        <w:t xml:space="preserve"> </w:t>
      </w:r>
      <w:r>
        <w:t xml:space="preserve">département, parmi eux, 33 ont d’ores et déjà été mis en</w:t>
      </w:r>
      <w:r>
        <w:t xml:space="preserve"> </w:t>
      </w:r>
      <w:r>
        <w:t xml:space="preserve">service (sur un total de 304 mis en service au niveau régional).</w:t>
      </w:r>
    </w:p>
    <w:p>
      <w:pPr>
        <w:pStyle w:val="Corpsdetexte"/>
      </w:pPr>
      <w:r>
        <w:t xml:space="preserve">Dans le cadre du dispositif 4G fixe, dans la région</w:t>
      </w:r>
      <w:r>
        <w:t xml:space="preserve"> </w:t>
      </w:r>
      <w:r>
        <w:t xml:space="preserve">«Bourgogne-Franche-Comté», 87 sites ont été identifiés dont 7 dans le</w:t>
      </w:r>
      <w:r>
        <w:t xml:space="preserve"> </w:t>
      </w:r>
      <w:r>
        <w:t xml:space="preserve">département, 5 ont déjà été mis en service</w:t>
      </w:r>
      <w:r>
        <w:t xml:space="preserve"> </w:t>
      </w:r>
      <w:r>
        <w:t xml:space="preserve">sur 59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0464"/>
            <wp:effectExtent b="0" l="0" r="0" t="0"/>
            <wp:docPr descr="" title="" id="1" name="Picture"/>
            <a:graphic>
              <a:graphicData uri="http://schemas.openxmlformats.org/drawingml/2006/picture">
                <pic:pic>
                  <pic:nvPicPr>
                    <pic:cNvPr descr="/srv/insitu/outbox/infographies/haut_débit/21.png" id="0" name="Picture"/>
                    <pic:cNvPicPr>
                      <a:picLocks noChangeArrowheads="1" noChangeAspect="1"/>
                    </pic:cNvPicPr>
                  </pic:nvPicPr>
                  <pic:blipFill>
                    <a:blip r:embed="rId23"/>
                    <a:stretch>
                      <a:fillRect/>
                    </a:stretch>
                  </pic:blipFill>
                  <pic:spPr bwMode="auto">
                    <a:xfrm>
                      <a:off x="0" y="0"/>
                      <a:ext cx="4572000" cy="228046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Altitude et Orange sur 234 communes ;</w:t>
      </w:r>
    </w:p>
    <w:p>
      <w:pPr>
        <w:pStyle w:val="Compact"/>
        <w:numPr>
          <w:numId w:val="1001"/>
          <w:ilvl w:val="0"/>
        </w:numPr>
      </w:pPr>
      <w:r>
        <w:t xml:space="preserve">celle de Orange sur 69 communes ;</w:t>
      </w:r>
    </w:p>
    <w:p>
      <w:pPr>
        <w:pStyle w:val="Compact"/>
        <w:numPr>
          <w:numId w:val="1001"/>
          <w:ilvl w:val="0"/>
        </w:numPr>
      </w:pPr>
      <w:r>
        <w:t xml:space="preserve">celle de CD Côte-d’Or dans la zone d’initiative publique qui comprend 425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66 893</w:t>
            </w:r>
            <w:r>
              <w:t xml:space="preserve"> </w:t>
            </w:r>
            <w:r>
              <w:rPr>
                <w:i/>
              </w:rPr>
              <w:t xml:space="preserve">18.0%</w:t>
            </w:r>
          </w:p>
        </w:tc>
        <w:tc>
          <w:p>
            <w:pPr>
              <w:pStyle w:val="Compact"/>
              <w:jc w:val="left"/>
            </w:pPr>
            <w:r>
              <w:t xml:space="preserve">62 750</w:t>
            </w:r>
            <w:r>
              <w:t xml:space="preserve"> </w:t>
            </w:r>
            <w:r>
              <w:rPr>
                <w:i/>
              </w:rPr>
              <w:t xml:space="preserve">94.0%</w:t>
            </w:r>
          </w:p>
        </w:tc>
      </w:tr>
      <w:tr>
        <w:tc>
          <w:p>
            <w:pPr>
              <w:pStyle w:val="Compact"/>
              <w:jc w:val="left"/>
            </w:pPr>
            <w:r>
              <w:t xml:space="preserve">Zone AMII</w:t>
            </w:r>
          </w:p>
        </w:tc>
        <w:tc>
          <w:p>
            <w:pPr>
              <w:pStyle w:val="Compact"/>
              <w:jc w:val="left"/>
            </w:pPr>
            <w:r>
              <w:t xml:space="preserve">216 622</w:t>
            </w:r>
            <w:r>
              <w:t xml:space="preserve"> </w:t>
            </w:r>
            <w:r>
              <w:rPr>
                <w:i/>
              </w:rPr>
              <w:t xml:space="preserve">59.0%</w:t>
            </w:r>
          </w:p>
        </w:tc>
        <w:tc>
          <w:p>
            <w:pPr>
              <w:pStyle w:val="Compact"/>
              <w:jc w:val="left"/>
            </w:pPr>
            <w:r>
              <w:t xml:space="preserve">200 976</w:t>
            </w:r>
            <w:r>
              <w:t xml:space="preserve"> </w:t>
            </w:r>
            <w:r>
              <w:rPr>
                <w:i/>
              </w:rPr>
              <w:t xml:space="preserve">93.0%</w:t>
            </w:r>
          </w:p>
        </w:tc>
      </w:tr>
      <w:tr>
        <w:tc>
          <w:p>
            <w:pPr>
              <w:pStyle w:val="Compact"/>
              <w:jc w:val="left"/>
            </w:pPr>
            <w:r>
              <w:t xml:space="preserve">Zone RIP</w:t>
            </w:r>
          </w:p>
        </w:tc>
        <w:tc>
          <w:p>
            <w:pPr>
              <w:pStyle w:val="Compact"/>
              <w:jc w:val="left"/>
            </w:pPr>
            <w:r>
              <w:t xml:space="preserve">85 645</w:t>
            </w:r>
            <w:r>
              <w:t xml:space="preserve"> </w:t>
            </w:r>
            <w:r>
              <w:rPr>
                <w:i/>
              </w:rPr>
              <w:t xml:space="preserve">23.0%</w:t>
            </w:r>
          </w:p>
        </w:tc>
        <w:tc>
          <w:p>
            <w:pPr>
              <w:pStyle w:val="Compact"/>
              <w:jc w:val="left"/>
            </w:pPr>
            <w:r>
              <w:t xml:space="preserve">67 599</w:t>
            </w:r>
            <w:r>
              <w:t xml:space="preserve"> </w:t>
            </w:r>
            <w:r>
              <w:rPr>
                <w:i/>
              </w:rPr>
              <w:t xml:space="preserve">79.0%</w:t>
            </w:r>
          </w:p>
        </w:tc>
      </w:tr>
      <w:tr>
        <w:tc>
          <w:p>
            <w:pPr>
              <w:pStyle w:val="Compact"/>
              <w:jc w:val="left"/>
            </w:pPr>
            <w:r>
              <w:rPr>
                <w:b/>
              </w:rPr>
              <w:t xml:space="preserve">Total</w:t>
            </w:r>
          </w:p>
        </w:tc>
        <w:tc>
          <w:p>
            <w:pPr>
              <w:pStyle w:val="Compact"/>
              <w:jc w:val="left"/>
            </w:pPr>
            <w:r>
              <w:t xml:space="preserve">369 160</w:t>
            </w:r>
            <w:r>
              <w:t xml:space="preserve"> </w:t>
            </w:r>
            <w:r>
              <w:rPr>
                <w:i/>
              </w:rPr>
              <w:t xml:space="preserve">100%</w:t>
            </w:r>
          </w:p>
        </w:tc>
        <w:tc>
          <w:p>
            <w:pPr>
              <w:pStyle w:val="Compact"/>
              <w:jc w:val="left"/>
            </w:pPr>
            <w:r>
              <w:t xml:space="preserve">331 325</w:t>
            </w:r>
            <w:r>
              <w:t xml:space="preserve"> </w:t>
            </w:r>
            <w:r>
              <w:rPr>
                <w:i/>
              </w:rPr>
              <w:t xml:space="preserve">90.0%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17 en région «Bourgogne-Franche-Comté» et 2 dans le département :</w:t>
      </w:r>
    </w:p>
    <w:p>
      <w:pPr>
        <w:pStyle w:val="Compact"/>
        <w:numPr>
          <w:numId w:val="1002"/>
          <w:ilvl w:val="0"/>
        </w:numPr>
      </w:pPr>
      <w:r>
        <w:t xml:space="preserve">Centre Multimédia - PEP cbfc à Dijon</w:t>
      </w:r>
    </w:p>
    <w:p>
      <w:pPr>
        <w:pStyle w:val="Compact"/>
        <w:numPr>
          <w:numId w:val="1002"/>
          <w:ilvl w:val="0"/>
        </w:numPr>
      </w:pPr>
      <w:r>
        <w:t xml:space="preserve">La Coursive Boutaric à Dijon</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La Décarbonnerie (Darois)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«Bourgogne-Franche-Comté» est couverte par le(s) Hub(s) :</w:t>
      </w:r>
      <w:r>
        <w:t xml:space="preserve"> </w:t>
      </w:r>
      <w:r>
        <w:t xml:space="preserve">Hub MedNum BFC.</w:t>
      </w:r>
    </w:p>
    <w:p>
      <w:pPr>
        <w:pStyle w:val="Titre2"/>
      </w:pPr>
      <w:bookmarkStart w:id="27" w:name="conseillers-numériques"/>
      <w:r>
        <w:t xml:space="preserve">Conseillers numériques</w:t>
      </w:r>
      <w:bookmarkEnd w:id="27"/>
    </w:p>
    <w:p>
      <w:pPr>
        <w:pStyle w:val="Compact"/>
        <w:numPr>
          <w:numId w:val="1004"/>
          <w:ilvl w:val="0"/>
        </w:numPr>
      </w:pPr>
      <w:r>
        <w:t xml:space="preserve">41 CNFS validés dans 31 structures d’accueil</w:t>
      </w:r>
    </w:p>
    <w:p>
      <w:pPr>
        <w:pStyle w:val="Compact"/>
        <w:numPr>
          <w:numId w:val="1004"/>
          <w:ilvl w:val="0"/>
        </w:numPr>
      </w:pPr>
      <w:r>
        <w:t xml:space="preserve">35 CNFS recrutés</w:t>
      </w:r>
    </w:p>
    <w:p>
      <w:pPr>
        <w:pStyle w:val="Compact"/>
        <w:numPr>
          <w:numId w:val="1004"/>
          <w:ilvl w:val="0"/>
        </w:numPr>
      </w:pPr>
      <w:r>
        <w:t xml:space="preserve">1 CNFS en formation</w:t>
      </w:r>
    </w:p>
    <w:p>
      <w:pPr>
        <w:pStyle w:val="Compact"/>
        <w:numPr>
          <w:numId w:val="1004"/>
          <w:ilvl w:val="0"/>
        </w:numPr>
      </w:pPr>
      <w:r>
        <w:t xml:space="preserve">30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67 structures candidates</w:t>
      </w:r>
    </w:p>
    <w:p>
      <w:pPr>
        <w:pStyle w:val="Compact"/>
        <w:numPr>
          <w:numId w:val="1005"/>
          <w:ilvl w:val="0"/>
        </w:numPr>
      </w:pPr>
      <w:r>
        <w:t xml:space="preserve">235 aidants à habiliter au total</w:t>
      </w:r>
    </w:p>
    <w:p>
      <w:pPr>
        <w:pStyle w:val="Compact"/>
        <w:numPr>
          <w:numId w:val="1005"/>
          <w:ilvl w:val="0"/>
        </w:numPr>
      </w:pPr>
      <w:r>
        <w:t xml:space="preserve">60 structures ont finalisé leur habilitation (305 aidants formés au 16 septembre 2024)</w:t>
      </w:r>
    </w:p>
    <w:p>
      <w:pPr>
        <w:pStyle w:val="Titre2"/>
      </w:pPr>
      <w:bookmarkStart w:id="29" w:name="bases-adresses-locales"/>
      <w:r>
        <w:t xml:space="preserve">Bases adresses locales</w:t>
      </w:r>
      <w:bookmarkEnd w:id="29"/>
    </w:p>
    <w:p>
      <w:pPr>
        <w:pStyle w:val="FirstParagraph"/>
      </w:pPr>
      <w:r>
        <w:t xml:space="preserve">325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04:14.</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2024-09-19T02:14:39Z</dcterms:created>
  <dcterms:modified xsi:type="dcterms:W3CDTF">2024-09-19T02:14:39Z</dcterms:modified>
</cp:coreProperties>
</file>

<file path=docProps/custom.xml><?xml version="1.0" encoding="utf-8"?>
<Properties xmlns="http://schemas.openxmlformats.org/officeDocument/2006/custom-properties" xmlns:vt="http://schemas.openxmlformats.org/officeDocument/2006/docPropsVTypes"/>
</file>