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charente"/>
      <w:r>
        <w:t xml:space="preserve">Numérique «Charente»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«Nouvelle-Aquitaine», 536 sites ont été identifiés dont 40 dans le</w:t>
      </w:r>
      <w:r>
        <w:t xml:space="preserve"> </w:t>
      </w:r>
      <w:r>
        <w:t xml:space="preserve">département, parmi eux, 28 ont d’ores et déjà été mis en</w:t>
      </w:r>
      <w:r>
        <w:t xml:space="preserve"> </w:t>
      </w:r>
      <w:r>
        <w:t xml:space="preserve">service (sur un total de 350 mis en service au niveau régional).</w:t>
      </w:r>
    </w:p>
    <w:p>
      <w:pPr>
        <w:pStyle w:val="Corpsdetexte"/>
      </w:pPr>
      <w:r>
        <w:t xml:space="preserve">Dans le cadre du dispositif 4G fixe, dans la région</w:t>
      </w:r>
      <w:r>
        <w:t xml:space="preserve"> </w:t>
      </w:r>
      <w:r>
        <w:t xml:space="preserve">«Nouvelle-Aquitaine», 239 sites ont été identifiés dont 20 dans le</w:t>
      </w:r>
      <w:r>
        <w:t xml:space="preserve"> </w:t>
      </w:r>
      <w:r>
        <w:t xml:space="preserve">département, 20 ont déjà été mis en service</w:t>
      </w:r>
      <w:r>
        <w:t xml:space="preserve"> </w:t>
      </w:r>
      <w:r>
        <w:t xml:space="preserve">sur 172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8777"/>
            <wp:effectExtent b="0" l="0" r="0" t="0"/>
            <wp:docPr descr="" title="" id="1" name="Picture"/>
            <a:graphic>
              <a:graphicData uri="http://schemas.openxmlformats.org/drawingml/2006/picture">
                <pic:pic>
                  <pic:nvPicPr>
                    <pic:cNvPr descr="/srv/insitu/outbox/infographies/haut_débit/16.png" id="0" name="Picture"/>
                    <pic:cNvPicPr>
                      <a:picLocks noChangeArrowheads="1" noChangeAspect="1"/>
                    </pic:cNvPicPr>
                  </pic:nvPicPr>
                  <pic:blipFill>
                    <a:blip r:embed="rId23"/>
                    <a:stretch>
                      <a:fillRect/>
                    </a:stretch>
                  </pic:blipFill>
                  <pic:spPr bwMode="auto">
                    <a:xfrm>
                      <a:off x="0" y="0"/>
                      <a:ext cx="4572000" cy="228877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XP Fibre sur 58 communes ;</w:t>
      </w:r>
    </w:p>
    <w:p>
      <w:pPr>
        <w:pStyle w:val="Compact"/>
        <w:numPr>
          <w:numId w:val="1001"/>
          <w:ilvl w:val="0"/>
        </w:numPr>
      </w:pPr>
      <w:r>
        <w:t xml:space="preserve">celle de Orange sur 16 communes ;</w:t>
      </w:r>
    </w:p>
    <w:p>
      <w:pPr>
        <w:pStyle w:val="Compact"/>
        <w:numPr>
          <w:numId w:val="1001"/>
          <w:ilvl w:val="0"/>
        </w:numPr>
      </w:pPr>
      <w:r>
        <w:t xml:space="preserve">celle de Charente Numérique dans la zone d’initiative publique qui comprend 288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26 805</w:t>
            </w:r>
            <w:r>
              <w:t xml:space="preserve"> </w:t>
            </w:r>
            <w:r>
              <w:rPr>
                <w:i/>
              </w:rPr>
              <w:t xml:space="preserve">11.0%</w:t>
            </w:r>
          </w:p>
        </w:tc>
        <w:tc>
          <w:p>
            <w:pPr>
              <w:pStyle w:val="Compact"/>
              <w:jc w:val="left"/>
            </w:pPr>
            <w:r>
              <w:t xml:space="preserve">24 725</w:t>
            </w:r>
            <w:r>
              <w:t xml:space="preserve"> </w:t>
            </w:r>
            <w:r>
              <w:rPr>
                <w:i/>
              </w:rPr>
              <w:t xml:space="preserve">92.0%</w:t>
            </w:r>
          </w:p>
        </w:tc>
      </w:tr>
      <w:tr>
        <w:tc>
          <w:p>
            <w:pPr>
              <w:pStyle w:val="Compact"/>
              <w:jc w:val="left"/>
            </w:pPr>
            <w:r>
              <w:t xml:space="preserve">Zone AMII</w:t>
            </w:r>
          </w:p>
        </w:tc>
        <w:tc>
          <w:p>
            <w:pPr>
              <w:pStyle w:val="Compact"/>
              <w:jc w:val="left"/>
            </w:pPr>
            <w:r>
              <w:t xml:space="preserve">85 130</w:t>
            </w:r>
            <w:r>
              <w:t xml:space="preserve"> </w:t>
            </w:r>
            <w:r>
              <w:rPr>
                <w:i/>
              </w:rPr>
              <w:t xml:space="preserve">36.0%</w:t>
            </w:r>
          </w:p>
        </w:tc>
        <w:tc>
          <w:p>
            <w:pPr>
              <w:pStyle w:val="Compact"/>
              <w:jc w:val="left"/>
            </w:pPr>
            <w:r>
              <w:t xml:space="preserve">77 297</w:t>
            </w:r>
            <w:r>
              <w:t xml:space="preserve"> </w:t>
            </w:r>
            <w:r>
              <w:rPr>
                <w:i/>
              </w:rPr>
              <w:t xml:space="preserve">91.0%</w:t>
            </w:r>
          </w:p>
        </w:tc>
      </w:tr>
      <w:tr>
        <w:tc>
          <w:p>
            <w:pPr>
              <w:pStyle w:val="Compact"/>
              <w:jc w:val="left"/>
            </w:pPr>
            <w:r>
              <w:t xml:space="preserve">Zone RIP</w:t>
            </w:r>
          </w:p>
        </w:tc>
        <w:tc>
          <w:p>
            <w:pPr>
              <w:pStyle w:val="Compact"/>
              <w:jc w:val="left"/>
            </w:pPr>
            <w:r>
              <w:t xml:space="preserve">124 033</w:t>
            </w:r>
            <w:r>
              <w:t xml:space="preserve"> </w:t>
            </w:r>
            <w:r>
              <w:rPr>
                <w:i/>
              </w:rPr>
              <w:t xml:space="preserve">53.0%</w:t>
            </w:r>
          </w:p>
        </w:tc>
        <w:tc>
          <w:p>
            <w:pPr>
              <w:pStyle w:val="Compact"/>
              <w:jc w:val="left"/>
            </w:pPr>
            <w:r>
              <w:t xml:space="preserve">112 899</w:t>
            </w:r>
            <w:r>
              <w:t xml:space="preserve"> </w:t>
            </w:r>
            <w:r>
              <w:rPr>
                <w:i/>
              </w:rPr>
              <w:t xml:space="preserve">91.0%</w:t>
            </w:r>
          </w:p>
        </w:tc>
      </w:tr>
      <w:tr>
        <w:tc>
          <w:p>
            <w:pPr>
              <w:pStyle w:val="Compact"/>
              <w:jc w:val="left"/>
            </w:pPr>
            <w:r>
              <w:rPr>
                <w:b/>
              </w:rPr>
              <w:t xml:space="preserve">Total</w:t>
            </w:r>
          </w:p>
        </w:tc>
        <w:tc>
          <w:p>
            <w:pPr>
              <w:pStyle w:val="Compact"/>
              <w:jc w:val="left"/>
            </w:pPr>
            <w:r>
              <w:t xml:space="preserve">235 968</w:t>
            </w:r>
            <w:r>
              <w:t xml:space="preserve"> </w:t>
            </w:r>
            <w:r>
              <w:rPr>
                <w:i/>
              </w:rPr>
              <w:t xml:space="preserve">100%</w:t>
            </w:r>
          </w:p>
        </w:tc>
        <w:tc>
          <w:p>
            <w:pPr>
              <w:pStyle w:val="Compact"/>
              <w:jc w:val="left"/>
            </w:pPr>
            <w:r>
              <w:t xml:space="preserve">214 921</w:t>
            </w:r>
            <w:r>
              <w:t xml:space="preserve"> </w:t>
            </w:r>
            <w:r>
              <w:rPr>
                <w:i/>
              </w:rPr>
              <w:t xml:space="preserve">91.0%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30 en région «Nouvelle-Aquitaine» et 1 dans le département :</w:t>
      </w:r>
    </w:p>
    <w:p>
      <w:pPr>
        <w:pStyle w:val="Compact"/>
        <w:numPr>
          <w:numId w:val="1002"/>
          <w:ilvl w:val="0"/>
        </w:numPr>
      </w:pPr>
      <w:r>
        <w:t xml:space="preserve">Espace Numérique Sud Charente à Montmoreau</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«Nouvelle-Aquitaine» est couverte par le(s) Hub(s) :</w:t>
      </w:r>
      <w:r>
        <w:t xml:space="preserve"> </w:t>
      </w:r>
      <w:r>
        <w:t xml:space="preserve">HUBe-RT et Hubik.</w:t>
      </w:r>
    </w:p>
    <w:p>
      <w:pPr>
        <w:pStyle w:val="Titre2"/>
      </w:pPr>
      <w:bookmarkStart w:id="27" w:name="conseillers-numériques"/>
      <w:r>
        <w:t xml:space="preserve">Conseillers numériques</w:t>
      </w:r>
      <w:bookmarkEnd w:id="27"/>
    </w:p>
    <w:p>
      <w:pPr>
        <w:pStyle w:val="Compact"/>
        <w:numPr>
          <w:numId w:val="1003"/>
          <w:ilvl w:val="0"/>
        </w:numPr>
      </w:pPr>
      <w:r>
        <w:t xml:space="preserve">30 CNFS validés dans 24 structures d’accueil</w:t>
      </w:r>
    </w:p>
    <w:p>
      <w:pPr>
        <w:pStyle w:val="Compact"/>
        <w:numPr>
          <w:numId w:val="1003"/>
          <w:ilvl w:val="0"/>
        </w:numPr>
      </w:pPr>
      <w:r>
        <w:t xml:space="preserve">26 CNFS recrutés</w:t>
      </w:r>
    </w:p>
    <w:p>
      <w:pPr>
        <w:pStyle w:val="Compact"/>
        <w:numPr>
          <w:numId w:val="1003"/>
          <w:ilvl w:val="0"/>
        </w:numPr>
      </w:pPr>
      <w:r>
        <w:t xml:space="preserve">1 CNFS en formation</w:t>
      </w:r>
    </w:p>
    <w:p>
      <w:pPr>
        <w:pStyle w:val="Compact"/>
        <w:numPr>
          <w:numId w:val="1003"/>
          <w:ilvl w:val="0"/>
        </w:numPr>
      </w:pPr>
      <w:r>
        <w:t xml:space="preserve">24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59 structures candidates</w:t>
      </w:r>
    </w:p>
    <w:p>
      <w:pPr>
        <w:pStyle w:val="Compact"/>
        <w:numPr>
          <w:numId w:val="1004"/>
          <w:ilvl w:val="0"/>
        </w:numPr>
      </w:pPr>
      <w:r>
        <w:t xml:space="preserve">192 aidants à habiliter au total</w:t>
      </w:r>
    </w:p>
    <w:p>
      <w:pPr>
        <w:pStyle w:val="Compact"/>
        <w:numPr>
          <w:numId w:val="1004"/>
          <w:ilvl w:val="0"/>
        </w:numPr>
      </w:pPr>
      <w:r>
        <w:t xml:space="preserve">58 structures ont finalisé leur habilitation (193 aidants formés au 16 septembre 2024)</w:t>
      </w:r>
    </w:p>
    <w:p>
      <w:pPr>
        <w:pStyle w:val="Titre2"/>
      </w:pPr>
      <w:bookmarkStart w:id="29" w:name="bases-adresses-locales"/>
      <w:r>
        <w:t xml:space="preserve">Bases adresses locales</w:t>
      </w:r>
      <w:bookmarkEnd w:id="29"/>
    </w:p>
    <w:p>
      <w:pPr>
        <w:pStyle w:val="FirstParagraph"/>
      </w:pPr>
      <w:r>
        <w:t xml:space="preserve">290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2024-09-19T02:14:27Z</dcterms:created>
  <dcterms:modified xsi:type="dcterms:W3CDTF">2024-09-19T02:14:27Z</dcterms:modified>
</cp:coreProperties>
</file>

<file path=docProps/custom.xml><?xml version="1.0" encoding="utf-8"?>
<Properties xmlns="http://schemas.openxmlformats.org/officeDocument/2006/custom-properties" xmlns:vt="http://schemas.openxmlformats.org/officeDocument/2006/docPropsVTypes"/>
</file>