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bouches-du-rhône"/>
      <w:r>
        <w:t xml:space="preserve">Numérique «Bouches-du-Rhône»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«Provence-Alpes-Côte d’Azur», 337 sites ont été identifiés dont 33 dans le</w:t>
      </w:r>
      <w:r>
        <w:t xml:space="preserve"> </w:t>
      </w:r>
      <w:r>
        <w:t xml:space="preserve">département, parmi eux, 15 ont d’ores et déjà été mis en</w:t>
      </w:r>
      <w:r>
        <w:t xml:space="preserve"> </w:t>
      </w:r>
      <w:r>
        <w:t xml:space="preserve">service (sur un total de 163 mis en service au niveau régional).</w:t>
      </w:r>
    </w:p>
    <w:p>
      <w:pPr>
        <w:pStyle w:val="Corpsdetexte"/>
      </w:pPr>
      <w:r>
        <w:t xml:space="preserve">Dans le cadre du dispositif 4G fixe, dans la région</w:t>
      </w:r>
      <w:r>
        <w:t xml:space="preserve"> </w:t>
      </w:r>
      <w:r>
        <w:t xml:space="preserve">«Provence-Alpes-Côte d’Azur», 27 sites ont été identifiés dont 1 dans le</w:t>
      </w:r>
      <w:r>
        <w:t xml:space="preserve"> </w:t>
      </w:r>
      <w:r>
        <w:t xml:space="preserve">département, 1 ont déjà été mis en service</w:t>
      </w:r>
      <w:r>
        <w:t xml:space="preserve"> </w:t>
      </w:r>
      <w:r>
        <w:t xml:space="preserve">sur 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8777"/>
            <wp:effectExtent b="0" l="0" r="0" t="0"/>
            <wp:docPr descr="" title="" id="1" name="Picture"/>
            <a:graphic>
              <a:graphicData uri="http://schemas.openxmlformats.org/drawingml/2006/picture">
                <pic:pic>
                  <pic:nvPicPr>
                    <pic:cNvPr descr="/srv/insitu/outbox/infographies/haut_débit/13.png" id="0" name="Picture"/>
                    <pic:cNvPicPr>
                      <a:picLocks noChangeArrowheads="1" noChangeAspect="1"/>
                    </pic:cNvPicPr>
                  </pic:nvPicPr>
                  <pic:blipFill>
                    <a:blip r:embed="rId23"/>
                    <a:stretch>
                      <a:fillRect/>
                    </a:stretch>
                  </pic:blipFill>
                  <pic:spPr bwMode="auto">
                    <a:xfrm>
                      <a:off x="0" y="0"/>
                      <a:ext cx="4572000" cy="228877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XP Fibre sur 24 communes ;</w:t>
      </w:r>
    </w:p>
    <w:p>
      <w:pPr>
        <w:pStyle w:val="Compact"/>
        <w:numPr>
          <w:numId w:val="1001"/>
          <w:ilvl w:val="0"/>
        </w:numPr>
      </w:pPr>
      <w:r>
        <w:t xml:space="preserve">celle de Orange et XP Fibre sur 94 communes ;</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527 727</w:t>
            </w:r>
            <w:r>
              <w:t xml:space="preserve"> </w:t>
            </w:r>
            <w:r>
              <w:rPr>
                <w:i/>
              </w:rPr>
              <w:t xml:space="preserve">42.0%</w:t>
            </w:r>
          </w:p>
        </w:tc>
        <w:tc>
          <w:p>
            <w:pPr>
              <w:pStyle w:val="Compact"/>
              <w:jc w:val="left"/>
            </w:pPr>
            <w:r>
              <w:t xml:space="preserve">442 291</w:t>
            </w:r>
            <w:r>
              <w:t xml:space="preserve"> </w:t>
            </w:r>
            <w:r>
              <w:rPr>
                <w:i/>
              </w:rPr>
              <w:t xml:space="preserve">84.0%</w:t>
            </w:r>
          </w:p>
        </w:tc>
      </w:tr>
      <w:tr>
        <w:tc>
          <w:p>
            <w:pPr>
              <w:pStyle w:val="Compact"/>
              <w:jc w:val="left"/>
            </w:pPr>
            <w:r>
              <w:t xml:space="preserve">Zone AMEL / fonds propres</w:t>
            </w:r>
          </w:p>
        </w:tc>
        <w:tc>
          <w:p>
            <w:pPr>
              <w:pStyle w:val="Compact"/>
              <w:jc w:val="left"/>
            </w:pPr>
            <w:r>
              <w:t xml:space="preserve">59 212</w:t>
            </w:r>
            <w:r>
              <w:t xml:space="preserve"> </w:t>
            </w:r>
            <w:r>
              <w:rPr>
                <w:i/>
              </w:rPr>
              <w:t xml:space="preserve">5.0%</w:t>
            </w:r>
          </w:p>
        </w:tc>
        <w:tc>
          <w:p>
            <w:pPr>
              <w:pStyle w:val="Compact"/>
              <w:jc w:val="left"/>
            </w:pPr>
            <w:r>
              <w:t xml:space="preserve">57 763</w:t>
            </w:r>
            <w:r>
              <w:t xml:space="preserve"> </w:t>
            </w:r>
            <w:r>
              <w:rPr>
                <w:i/>
              </w:rPr>
              <w:t xml:space="preserve">98.0%</w:t>
            </w:r>
          </w:p>
        </w:tc>
      </w:tr>
      <w:tr>
        <w:tc>
          <w:p>
            <w:pPr>
              <w:pStyle w:val="Compact"/>
              <w:jc w:val="left"/>
            </w:pPr>
            <w:r>
              <w:t xml:space="preserve">Zone AMII</w:t>
            </w:r>
          </w:p>
        </w:tc>
        <w:tc>
          <w:p>
            <w:pPr>
              <w:pStyle w:val="Compact"/>
              <w:jc w:val="left"/>
            </w:pPr>
            <w:r>
              <w:t xml:space="preserve">669 746</w:t>
            </w:r>
            <w:r>
              <w:t xml:space="preserve"> </w:t>
            </w:r>
            <w:r>
              <w:rPr>
                <w:i/>
              </w:rPr>
              <w:t xml:space="preserve">53.0%</w:t>
            </w:r>
          </w:p>
        </w:tc>
        <w:tc>
          <w:p>
            <w:pPr>
              <w:pStyle w:val="Compact"/>
              <w:jc w:val="left"/>
            </w:pPr>
            <w:r>
              <w:t xml:space="preserve">596 031</w:t>
            </w:r>
            <w:r>
              <w:t xml:space="preserve"> </w:t>
            </w:r>
            <w:r>
              <w:rPr>
                <w:i/>
              </w:rPr>
              <w:t xml:space="preserve">89.0%</w:t>
            </w:r>
          </w:p>
        </w:tc>
      </w:tr>
      <w:tr>
        <w:tc>
          <w:p>
            <w:pPr>
              <w:pStyle w:val="Compact"/>
              <w:jc w:val="left"/>
            </w:pPr>
            <w:r>
              <w:rPr>
                <w:b/>
              </w:rPr>
              <w:t xml:space="preserve">Total</w:t>
            </w:r>
          </w:p>
        </w:tc>
        <w:tc>
          <w:p>
            <w:pPr>
              <w:pStyle w:val="Compact"/>
              <w:jc w:val="left"/>
            </w:pPr>
            <w:r>
              <w:t xml:space="preserve">1 256 685</w:t>
            </w:r>
            <w:r>
              <w:t xml:space="preserve"> </w:t>
            </w:r>
            <w:r>
              <w:rPr>
                <w:i/>
              </w:rPr>
              <w:t xml:space="preserve">100%</w:t>
            </w:r>
          </w:p>
        </w:tc>
        <w:tc>
          <w:p>
            <w:pPr>
              <w:pStyle w:val="Compact"/>
              <w:jc w:val="left"/>
            </w:pPr>
            <w:r>
              <w:t xml:space="preserve">1 096 085</w:t>
            </w:r>
            <w:r>
              <w:t xml:space="preserve"> </w:t>
            </w:r>
            <w:r>
              <w:rPr>
                <w:i/>
              </w:rPr>
              <w:t xml:space="preserve">87.0%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24 en région «Provence-Alpes-Côte d’Azur» et 10 dans le département :</w:t>
      </w:r>
    </w:p>
    <w:p>
      <w:pPr>
        <w:pStyle w:val="Compact"/>
        <w:numPr>
          <w:numId w:val="1002"/>
          <w:ilvl w:val="0"/>
        </w:numPr>
      </w:pPr>
      <w:r>
        <w:t xml:space="preserve">ANONYMAL à Aix-en-Provence</w:t>
      </w:r>
    </w:p>
    <w:p>
      <w:pPr>
        <w:pStyle w:val="Compact"/>
        <w:numPr>
          <w:numId w:val="1002"/>
          <w:ilvl w:val="0"/>
        </w:numPr>
      </w:pPr>
      <w:r>
        <w:t xml:space="preserve">T CAP 21 TRISOMIE 21 CAPACITE AUTODETERMINATION PROJET DE VIE à Ensuès-la-Redonne</w:t>
      </w:r>
    </w:p>
    <w:p>
      <w:pPr>
        <w:pStyle w:val="Compact"/>
        <w:numPr>
          <w:numId w:val="1002"/>
          <w:ilvl w:val="0"/>
        </w:numPr>
      </w:pPr>
      <w:r>
        <w:t xml:space="preserve">ASSOCIATION CIRCULAIRE à Marseille</w:t>
      </w:r>
    </w:p>
    <w:p>
      <w:pPr>
        <w:pStyle w:val="Compact"/>
        <w:numPr>
          <w:numId w:val="1002"/>
          <w:ilvl w:val="0"/>
        </w:numPr>
      </w:pPr>
      <w:r>
        <w:t xml:space="preserve">ASSOCIATION COSENS</w:t>
      </w:r>
      <w:r>
        <w:t xml:space="preserve"> </w:t>
      </w:r>
      <w:r>
        <w:t xml:space="preserve">pour le tiers-lieu LE LIEU-DIT</w:t>
      </w:r>
      <w:r>
        <w:t xml:space="preserve"> </w:t>
      </w:r>
      <w:r>
        <w:t xml:space="preserve">pour le consortium LA DISTILLERIE DU VERDON à Marseille</w:t>
      </w:r>
    </w:p>
    <w:p>
      <w:pPr>
        <w:pStyle w:val="Compact"/>
        <w:numPr>
          <w:numId w:val="1002"/>
          <w:ilvl w:val="0"/>
        </w:numPr>
      </w:pPr>
      <w:r>
        <w:t xml:space="preserve">Heko Farm à Marseille</w:t>
      </w:r>
    </w:p>
    <w:p>
      <w:pPr>
        <w:pStyle w:val="Compact"/>
        <w:numPr>
          <w:numId w:val="1002"/>
          <w:ilvl w:val="0"/>
        </w:numPr>
      </w:pPr>
      <w:r>
        <w:t xml:space="preserve">LA FABULERIE à Marseille</w:t>
      </w:r>
    </w:p>
    <w:p>
      <w:pPr>
        <w:pStyle w:val="Compact"/>
        <w:numPr>
          <w:numId w:val="1002"/>
          <w:ilvl w:val="0"/>
        </w:numPr>
      </w:pPr>
      <w:r>
        <w:t xml:space="preserve">SCIC FRICHE LA BELLE DE MAI à Marseille</w:t>
      </w:r>
    </w:p>
    <w:p>
      <w:pPr>
        <w:pStyle w:val="Compact"/>
        <w:numPr>
          <w:numId w:val="1002"/>
          <w:ilvl w:val="0"/>
        </w:numPr>
      </w:pPr>
      <w:r>
        <w:t xml:space="preserve">URBAN PROD à Marseille</w:t>
      </w:r>
    </w:p>
    <w:p>
      <w:pPr>
        <w:pStyle w:val="Compact"/>
        <w:numPr>
          <w:numId w:val="1002"/>
          <w:ilvl w:val="0"/>
        </w:numPr>
      </w:pPr>
      <w:r>
        <w:t xml:space="preserve">YES WE CAMP à Marseille</w:t>
      </w:r>
    </w:p>
    <w:p>
      <w:pPr>
        <w:pStyle w:val="Compact"/>
        <w:numPr>
          <w:numId w:val="1002"/>
          <w:ilvl w:val="0"/>
        </w:numPr>
      </w:pPr>
      <w:r>
        <w:t xml:space="preserve">Association pour l’Animation et la Gestion des Equipements Sociaux des Canourgues à Salon-de-Provence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Structuration de la manufacture Share-Wood Marseille (Marseille 14e Arrondissement)</w:t>
      </w:r>
    </w:p>
    <w:p>
      <w:pPr>
        <w:pStyle w:val="Compact"/>
        <w:numPr>
          <w:numId w:val="1003"/>
          <w:ilvl w:val="0"/>
        </w:numPr>
      </w:pPr>
      <w:r>
        <w:t xml:space="preserve">Structuration de la manufacture Share-Wood Marseille (Marseille 14e Arrondissement)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«Provence-Alpes-Côte d’Azur» est couverte par le(s) Hub(s) :</w:t>
      </w:r>
      <w:r>
        <w:t xml:space="preserve"> </w:t>
      </w:r>
      <w:r>
        <w:t xml:space="preserve">Hub du Sud.</w:t>
      </w:r>
    </w:p>
    <w:p>
      <w:pPr>
        <w:pStyle w:val="Titre2"/>
      </w:pPr>
      <w:bookmarkStart w:id="27" w:name="conseillers-numériques"/>
      <w:r>
        <w:t xml:space="preserve">Conseillers numériques</w:t>
      </w:r>
      <w:bookmarkEnd w:id="27"/>
    </w:p>
    <w:p>
      <w:pPr>
        <w:pStyle w:val="Compact"/>
        <w:numPr>
          <w:numId w:val="1004"/>
          <w:ilvl w:val="0"/>
        </w:numPr>
      </w:pPr>
      <w:r>
        <w:t xml:space="preserve">113 CNFS validés dans 79 structures d’accueil</w:t>
      </w:r>
    </w:p>
    <w:p>
      <w:pPr>
        <w:pStyle w:val="Compact"/>
        <w:numPr>
          <w:numId w:val="1004"/>
          <w:ilvl w:val="0"/>
        </w:numPr>
      </w:pPr>
      <w:r>
        <w:t xml:space="preserve">89 CNFS recrutés</w:t>
      </w:r>
    </w:p>
    <w:p>
      <w:pPr>
        <w:pStyle w:val="Compact"/>
        <w:numPr>
          <w:numId w:val="1004"/>
          <w:ilvl w:val="0"/>
        </w:numPr>
      </w:pPr>
      <w:r>
        <w:t xml:space="preserve">1 CNFS en formation</w:t>
      </w:r>
    </w:p>
    <w:p>
      <w:pPr>
        <w:pStyle w:val="Compact"/>
        <w:numPr>
          <w:numId w:val="1004"/>
          <w:ilvl w:val="0"/>
        </w:numPr>
      </w:pPr>
      <w:r>
        <w:t xml:space="preserve">57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128 structures candidates</w:t>
      </w:r>
    </w:p>
    <w:p>
      <w:pPr>
        <w:pStyle w:val="Compact"/>
        <w:numPr>
          <w:numId w:val="1005"/>
          <w:ilvl w:val="0"/>
        </w:numPr>
      </w:pPr>
      <w:r>
        <w:t xml:space="preserve">640 aidants à habiliter au total</w:t>
      </w:r>
    </w:p>
    <w:p>
      <w:pPr>
        <w:pStyle w:val="Compact"/>
        <w:numPr>
          <w:numId w:val="1005"/>
          <w:ilvl w:val="0"/>
        </w:numPr>
      </w:pPr>
      <w:r>
        <w:t xml:space="preserve">126 structures ont finalisé leur habilitation (551 aidants formés au 16 septembre 2024)</w:t>
      </w:r>
    </w:p>
    <w:p>
      <w:pPr>
        <w:pStyle w:val="Titre2"/>
      </w:pPr>
      <w:bookmarkStart w:id="29" w:name="bases-adresses-locales"/>
      <w:r>
        <w:t xml:space="preserve">Bases adresses locales</w:t>
      </w:r>
      <w:bookmarkEnd w:id="29"/>
    </w:p>
    <w:p>
      <w:pPr>
        <w:pStyle w:val="FirstParagraph"/>
      </w:pPr>
      <w:r>
        <w:t xml:space="preserve">90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2024-09-19T02:14:21Z</dcterms:created>
  <dcterms:modified xsi:type="dcterms:W3CDTF">2024-09-19T02:14:21Z</dcterms:modified>
</cp:coreProperties>
</file>

<file path=docProps/custom.xml><?xml version="1.0" encoding="utf-8"?>
<Properties xmlns="http://schemas.openxmlformats.org/officeDocument/2006/custom-properties" xmlns:vt="http://schemas.openxmlformats.org/officeDocument/2006/docPropsVTypes"/>
</file>