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4.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ardèche"/>
      <w:r>
        <w:t xml:space="preserve">Numérique «Ardèche»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105 dans le</w:t>
      </w:r>
      <w:r>
        <w:t xml:space="preserve"> </w:t>
      </w:r>
      <w:r>
        <w:t xml:space="preserve">département, parmi eux, 58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17 dans le</w:t>
      </w:r>
      <w:r>
        <w:t xml:space="preserve"> </w:t>
      </w:r>
      <w:r>
        <w:t xml:space="preserve">département, 5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w:t>
      </w:r>
      <w:r>
        <w:rPr>
          <w:rStyle w:val="FootnoteReference"/>
        </w:rPr>
        <w:footnoteReference w:id="23"/>
      </w:r>
      <w:r>
        <w:t xml:space="preserve"> </w:t>
      </w:r>
      <w:r>
        <w:t xml:space="preserve">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177646"/>
            <wp:effectExtent b="0" l="0" r="0" t="0"/>
            <wp:docPr descr="" title="" id="1" name="Picture"/>
            <a:graphic>
              <a:graphicData uri="http://schemas.openxmlformats.org/drawingml/2006/picture">
                <pic:pic>
                  <pic:nvPicPr>
                    <pic:cNvPr descr="/srv/insitu/outbox/infographies/haut_débit/07.png" id="0" name="Picture"/>
                    <pic:cNvPicPr>
                      <a:picLocks noChangeArrowheads="1" noChangeAspect="1"/>
                    </pic:cNvPicPr>
                  </pic:nvPicPr>
                  <pic:blipFill>
                    <a:blip r:embed="rId24"/>
                    <a:stretch>
                      <a:fillRect/>
                    </a:stretch>
                  </pic:blipFill>
                  <pic:spPr bwMode="auto">
                    <a:xfrm>
                      <a:off x="0" y="0"/>
                      <a:ext cx="4572000" cy="217764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18 communes ;</w:t>
      </w:r>
    </w:p>
    <w:p>
      <w:pPr>
        <w:pStyle w:val="Compact"/>
        <w:numPr>
          <w:numId w:val="1001"/>
          <w:ilvl w:val="0"/>
        </w:numPr>
      </w:pPr>
      <w:r>
        <w:t xml:space="preserve">celle de ADN dans la zone d’initiative publique qui comprend 317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37 711</w:t>
            </w:r>
            <w:r>
              <w:t xml:space="preserve"> </w:t>
            </w:r>
            <w:r>
              <w:rPr>
                <w:i/>
              </w:rPr>
              <w:t xml:space="preserve">16.0%</w:t>
            </w:r>
          </w:p>
        </w:tc>
        <w:tc>
          <w:p>
            <w:pPr>
              <w:pStyle w:val="Compact"/>
              <w:jc w:val="left"/>
            </w:pPr>
            <w:r>
              <w:t xml:space="preserve">31 353</w:t>
            </w:r>
            <w:r>
              <w:t xml:space="preserve"> </w:t>
            </w:r>
            <w:r>
              <w:rPr>
                <w:i/>
              </w:rPr>
              <w:t xml:space="preserve">83.0%</w:t>
            </w:r>
          </w:p>
        </w:tc>
      </w:tr>
      <w:tr>
        <w:tc>
          <w:p>
            <w:pPr>
              <w:pStyle w:val="Compact"/>
              <w:jc w:val="left"/>
            </w:pPr>
            <w:r>
              <w:t xml:space="preserve">Zone RIP</w:t>
            </w:r>
          </w:p>
        </w:tc>
        <w:tc>
          <w:p>
            <w:pPr>
              <w:pStyle w:val="Compact"/>
              <w:jc w:val="left"/>
            </w:pPr>
            <w:r>
              <w:t xml:space="preserve">200 677</w:t>
            </w:r>
            <w:r>
              <w:t xml:space="preserve"> </w:t>
            </w:r>
            <w:r>
              <w:rPr>
                <w:i/>
              </w:rPr>
              <w:t xml:space="preserve">84.0%</w:t>
            </w:r>
          </w:p>
        </w:tc>
        <w:tc>
          <w:p>
            <w:pPr>
              <w:pStyle w:val="Compact"/>
              <w:jc w:val="left"/>
            </w:pPr>
            <w:r>
              <w:t xml:space="preserve">92 757</w:t>
            </w:r>
            <w:r>
              <w:t xml:space="preserve"> </w:t>
            </w:r>
            <w:r>
              <w:rPr>
                <w:i/>
              </w:rPr>
              <w:t xml:space="preserve">46.0%</w:t>
            </w:r>
          </w:p>
        </w:tc>
      </w:tr>
      <w:tr>
        <w:tc>
          <w:p>
            <w:pPr>
              <w:pStyle w:val="Compact"/>
              <w:jc w:val="left"/>
            </w:pPr>
            <w:r>
              <w:rPr>
                <w:b/>
              </w:rPr>
              <w:t xml:space="preserve">Total</w:t>
            </w:r>
          </w:p>
        </w:tc>
        <w:tc>
          <w:p>
            <w:pPr>
              <w:pStyle w:val="Compact"/>
              <w:jc w:val="left"/>
            </w:pPr>
            <w:r>
              <w:t xml:space="preserve">238 388</w:t>
            </w:r>
            <w:r>
              <w:t xml:space="preserve"> </w:t>
            </w:r>
            <w:r>
              <w:rPr>
                <w:i/>
              </w:rPr>
              <w:t xml:space="preserve">100%</w:t>
            </w:r>
          </w:p>
        </w:tc>
        <w:tc>
          <w:p>
            <w:pPr>
              <w:pStyle w:val="Compact"/>
              <w:jc w:val="left"/>
            </w:pPr>
            <w:r>
              <w:t xml:space="preserve">124 110</w:t>
            </w:r>
            <w:r>
              <w:t xml:space="preserve"> </w:t>
            </w:r>
            <w:r>
              <w:rPr>
                <w:i/>
              </w:rPr>
              <w:t xml:space="preserve">52.0%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5" w:name="fabriques-numériques"/>
      <w:r>
        <w:t xml:space="preserve">Fabriques numériques</w:t>
      </w:r>
      <w:bookmarkEnd w:id="25"/>
    </w:p>
    <w:p>
      <w:pPr>
        <w:pStyle w:val="FirstParagraph"/>
      </w:pPr>
      <w:r>
        <w:t xml:space="preserve">300 fabriques ont déjà été retenues au titre de</w:t>
      </w:r>
      <w:r>
        <w:t xml:space="preserve"> </w:t>
      </w:r>
      <w:r>
        <w:t xml:space="preserve">l’AMI, dont 41 en région «Auvergne-Rhône-Alpes» et 2 dans le département :</w:t>
      </w:r>
    </w:p>
    <w:p>
      <w:pPr>
        <w:pStyle w:val="Compact"/>
        <w:numPr>
          <w:numId w:val="1002"/>
          <w:ilvl w:val="0"/>
        </w:numPr>
      </w:pPr>
      <w:r>
        <w:t xml:space="preserve">Association l’Enveloppe - la MAGMA à Annonay</w:t>
      </w:r>
    </w:p>
    <w:p>
      <w:pPr>
        <w:pStyle w:val="Compact"/>
        <w:numPr>
          <w:numId w:val="1002"/>
          <w:ilvl w:val="0"/>
        </w:numPr>
      </w:pPr>
      <w:r>
        <w:t xml:space="preserve">Le Vesseaux-Mère à Vesseaux</w:t>
      </w:r>
    </w:p>
    <w:p>
      <w:pPr>
        <w:pStyle w:val="Titre2"/>
      </w:pPr>
      <w:bookmarkStart w:id="26" w:name="manufactures-de-proximité"/>
      <w:r>
        <w:t xml:space="preserve">Manufactures de proximité</w:t>
      </w:r>
      <w:bookmarkEnd w:id="26"/>
    </w:p>
    <w:p>
      <w:pPr>
        <w:pStyle w:val="FirstParagraph"/>
      </w:pPr>
      <w:r>
        <w:t xml:space="preserve">L’AMI Manufactures de proximité a été lancé le 7 octobre 2021, pour une clôture définitive le 3 mars 2022. À date (12 septembre 2024), ce sont 99 Manufactures de proximité qui ont été labellisées, dont 3 dans le département:</w:t>
      </w:r>
    </w:p>
    <w:p>
      <w:pPr>
        <w:pStyle w:val="Compact"/>
        <w:numPr>
          <w:numId w:val="1003"/>
          <w:ilvl w:val="0"/>
        </w:numPr>
      </w:pPr>
      <w:r>
        <w:t xml:space="preserve">Le Labo.VE : Excellence Numérique pour la Résilience Economique de la Vallée de l’Eyrieux (EN REVE) (Le Cheylard)</w:t>
      </w:r>
    </w:p>
    <w:p>
      <w:pPr>
        <w:pStyle w:val="Compact"/>
        <w:numPr>
          <w:numId w:val="1003"/>
          <w:ilvl w:val="0"/>
        </w:numPr>
      </w:pPr>
      <w:r>
        <w:t xml:space="preserve">Le TiLT (Le Teil)</w:t>
      </w:r>
    </w:p>
    <w:p>
      <w:pPr>
        <w:pStyle w:val="Compact"/>
        <w:numPr>
          <w:numId w:val="1003"/>
          <w:ilvl w:val="0"/>
        </w:numPr>
      </w:pPr>
      <w:r>
        <w:t xml:space="preserve">Polinno, pôle d’innovation des métiers d’art (Joyeuse)</w:t>
      </w:r>
    </w:p>
    <w:p>
      <w:pPr>
        <w:pStyle w:val="Titre2"/>
      </w:pPr>
      <w:bookmarkStart w:id="27" w:name="hubs-territoriaux"/>
      <w:r>
        <w:t xml:space="preserve">Hubs Territoriaux</w:t>
      </w:r>
      <w:bookmarkEnd w:id="27"/>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8" w:name="conseillers-numériques"/>
      <w:r>
        <w:t xml:space="preserve">Conseillers numériques</w:t>
      </w:r>
      <w:bookmarkEnd w:id="28"/>
    </w:p>
    <w:p>
      <w:pPr>
        <w:pStyle w:val="Compact"/>
        <w:numPr>
          <w:numId w:val="1004"/>
          <w:ilvl w:val="0"/>
        </w:numPr>
      </w:pPr>
      <w:r>
        <w:t xml:space="preserve">26 CNFS validés dans 25 structures d’accueil</w:t>
      </w:r>
    </w:p>
    <w:p>
      <w:pPr>
        <w:pStyle w:val="Compact"/>
        <w:numPr>
          <w:numId w:val="1004"/>
          <w:ilvl w:val="0"/>
        </w:numPr>
      </w:pPr>
      <w:r>
        <w:t xml:space="preserve">19 CNFS recrutés</w:t>
      </w:r>
    </w:p>
    <w:p>
      <w:pPr>
        <w:pStyle w:val="Compact"/>
        <w:numPr>
          <w:numId w:val="1004"/>
          <w:ilvl w:val="0"/>
        </w:numPr>
      </w:pPr>
      <w:r>
        <w:t xml:space="preserve">1 CNFS en formation</w:t>
      </w:r>
    </w:p>
    <w:p>
      <w:pPr>
        <w:pStyle w:val="Compact"/>
        <w:numPr>
          <w:numId w:val="1004"/>
          <w:ilvl w:val="0"/>
        </w:numPr>
      </w:pPr>
      <w:r>
        <w:t xml:space="preserve">18 CNFS en poste</w:t>
      </w:r>
    </w:p>
    <w:p>
      <w:pPr>
        <w:pStyle w:val="Titre2"/>
      </w:pPr>
      <w:bookmarkStart w:id="29" w:name="aidants-connect"/>
      <w:r>
        <w:t xml:space="preserve">Aidants connect</w:t>
      </w:r>
      <w:bookmarkEnd w:id="29"/>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38 structures candidates</w:t>
      </w:r>
    </w:p>
    <w:p>
      <w:pPr>
        <w:pStyle w:val="Compact"/>
        <w:numPr>
          <w:numId w:val="1005"/>
          <w:ilvl w:val="0"/>
        </w:numPr>
      </w:pPr>
      <w:r>
        <w:t xml:space="preserve">63 aidants à habiliter au total</w:t>
      </w:r>
    </w:p>
    <w:p>
      <w:pPr>
        <w:pStyle w:val="Compact"/>
        <w:numPr>
          <w:numId w:val="1005"/>
          <w:ilvl w:val="0"/>
        </w:numPr>
      </w:pPr>
      <w:r>
        <w:t xml:space="preserve">38 structures ont finalisé leur habilitation (63 aidants formés au 16 septembre 2024)</w:t>
      </w:r>
    </w:p>
    <w:p>
      <w:pPr>
        <w:pStyle w:val="Titre2"/>
      </w:pPr>
      <w:bookmarkStart w:id="30" w:name="bases-adresses-locales"/>
      <w:r>
        <w:t xml:space="preserve">Bases adresses locales</w:t>
      </w:r>
      <w:bookmarkEnd w:id="30"/>
    </w:p>
    <w:p>
      <w:pPr>
        <w:pStyle w:val="FirstParagraph"/>
      </w:pPr>
      <w:r>
        <w:t xml:space="preserve">231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1" w:name="fraîcheur-des-données"/>
      <w:r>
        <w:t xml:space="preserve">Fraîcheur des données</w:t>
      </w:r>
      <w:bookmarkEnd w:id="31"/>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Notedebasdepage"/>
      </w:pPr>
      <w:r>
        <w:rPr>
          <w:rStyle w:val="FootnoteReference"/>
        </w:rPr>
        <w:footnoteRef/>
      </w:r>
      <w:r>
        <w:t xml:space="preserve"> </w:t>
      </w:r>
      <w:r>
        <w:rPr>
          <w:i/>
        </w:rPr>
        <w:t xml:space="preserve">Les 2.26% de locaux non desservis au 05 avril 2024 par des</w:t>
      </w:r>
      <w:r>
        <w:rPr>
          <w:i/>
        </w:rPr>
        <w:t xml:space="preserve"> </w:t>
      </w:r>
      <w:r>
        <w:rPr>
          <w:i/>
        </w:rPr>
        <w:t xml:space="preserve">infrastructures terrestres permettant un bon haut débit peuvent</w:t>
      </w:r>
      <w:r>
        <w:rPr>
          <w:i/>
        </w:rPr>
        <w:t xml:space="preserve"> </w:t>
      </w:r>
      <w:r>
        <w:rPr>
          <w:i/>
        </w:rPr>
        <w:t xml:space="preserve">souscrire à une solution satellitaire offrant</w:t>
      </w:r>
      <w:r>
        <w:t xml:space="preserve"> </w:t>
      </w:r>
      <w:r>
        <w:t xml:space="preserve">a minima</w:t>
      </w:r>
      <w:r>
        <w:t xml:space="preserve"> </w:t>
      </w:r>
      <w:r>
        <w:rPr>
          <w:i/>
        </w:rPr>
        <w:t xml:space="preserve">8Mbit/s.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4" Target="media/rId24.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2024-09-19T02:14:10Z</dcterms:created>
  <dcterms:modified xsi:type="dcterms:W3CDTF">2024-09-19T02:14:10Z</dcterms:modified>
</cp:coreProperties>
</file>

<file path=docProps/custom.xml><?xml version="1.0" encoding="utf-8"?>
<Properties xmlns="http://schemas.openxmlformats.org/officeDocument/2006/custom-properties" xmlns:vt="http://schemas.openxmlformats.org/officeDocument/2006/docPropsVTypes"/>
</file>