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alpes-maritimes"/>
      <w:r>
        <w:t xml:space="preserve">Numérique «Alpes-Maritimes»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«Provence-Alpes-Côte d’Azur», 337 sites ont été identifiés dont 63 dans le</w:t>
      </w:r>
      <w:r>
        <w:t xml:space="preserve"> </w:t>
      </w:r>
      <w:r>
        <w:t xml:space="preserve">département, parmi eux, 29 ont d’ores et déjà été mis en</w:t>
      </w:r>
      <w:r>
        <w:t xml:space="preserve"> </w:t>
      </w:r>
      <w:r>
        <w:t xml:space="preserve">service (sur un total de 163 mis en service au niveau régional).</w:t>
      </w:r>
    </w:p>
    <w:p>
      <w:pPr>
        <w:pStyle w:val="Corpsdetexte"/>
      </w:pPr>
      <w:r>
        <w:t xml:space="preserve">Dans le cadre du dispositif 4G fixe, dans la région</w:t>
      </w:r>
      <w:r>
        <w:t xml:space="preserve"> </w:t>
      </w:r>
      <w:r>
        <w:t xml:space="preserve">«Provence-Alpes-Côte d’Azur», 27 sites ont été identifiés dont 13 dans le</w:t>
      </w:r>
      <w:r>
        <w:t xml:space="preserve"> </w:t>
      </w:r>
      <w:r>
        <w:t xml:space="preserve">département, 3 ont déjà été mis en service</w:t>
      </w:r>
      <w:r>
        <w:t xml:space="preserve"> </w:t>
      </w:r>
      <w:r>
        <w:t xml:space="preserve">sur 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91562"/>
            <wp:effectExtent b="0" l="0" r="0" t="0"/>
            <wp:docPr descr="" title="" id="1" name="Picture"/>
            <a:graphic>
              <a:graphicData uri="http://schemas.openxmlformats.org/drawingml/2006/picture">
                <pic:pic>
                  <pic:nvPicPr>
                    <pic:cNvPr descr="/srv/insitu/outbox/infographies/haut_débit/06.png" id="0" name="Picture"/>
                    <pic:cNvPicPr>
                      <a:picLocks noChangeArrowheads="1" noChangeAspect="1"/>
                    </pic:cNvPicPr>
                  </pic:nvPicPr>
                  <pic:blipFill>
                    <a:blip r:embed="rId23"/>
                    <a:stretch>
                      <a:fillRect/>
                    </a:stretch>
                  </pic:blipFill>
                  <pic:spPr bwMode="auto">
                    <a:xfrm>
                      <a:off x="0" y="0"/>
                      <a:ext cx="4572000" cy="2291562"/>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4 communes ;</w:t>
      </w:r>
    </w:p>
    <w:p>
      <w:pPr>
        <w:pStyle w:val="Compact"/>
        <w:numPr>
          <w:numId w:val="1001"/>
          <w:ilvl w:val="0"/>
        </w:numPr>
      </w:pPr>
      <w:r>
        <w:t xml:space="preserve">celle de Orange et XP Fibre sur 59 communes ;</w:t>
      </w:r>
    </w:p>
    <w:p>
      <w:pPr>
        <w:pStyle w:val="Compact"/>
        <w:numPr>
          <w:numId w:val="1001"/>
          <w:ilvl w:val="0"/>
        </w:numPr>
      </w:pPr>
      <w:r>
        <w:t xml:space="preserve">celle de SICTIAM dans la zone d’initiative publique qui comprend 100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467 667</w:t>
            </w:r>
            <w:r>
              <w:t xml:space="preserve"> </w:t>
            </w:r>
            <w:r>
              <w:rPr>
                <w:i/>
              </w:rPr>
              <w:t xml:space="preserve">51.0%</w:t>
            </w:r>
          </w:p>
        </w:tc>
        <w:tc>
          <w:p>
            <w:pPr>
              <w:pStyle w:val="Compact"/>
              <w:jc w:val="left"/>
            </w:pPr>
            <w:r>
              <w:t xml:space="preserve">428 832</w:t>
            </w:r>
            <w:r>
              <w:t xml:space="preserve"> </w:t>
            </w:r>
            <w:r>
              <w:rPr>
                <w:i/>
              </w:rPr>
              <w:t xml:space="preserve">92.0%</w:t>
            </w:r>
          </w:p>
        </w:tc>
      </w:tr>
      <w:tr>
        <w:tc>
          <w:p>
            <w:pPr>
              <w:pStyle w:val="Compact"/>
              <w:jc w:val="left"/>
            </w:pPr>
            <w:r>
              <w:t xml:space="preserve">Zone AMII</w:t>
            </w:r>
          </w:p>
        </w:tc>
        <w:tc>
          <w:p>
            <w:pPr>
              <w:pStyle w:val="Compact"/>
              <w:jc w:val="left"/>
            </w:pPr>
            <w:r>
              <w:t xml:space="preserve">376 089</w:t>
            </w:r>
            <w:r>
              <w:t xml:space="preserve"> </w:t>
            </w:r>
            <w:r>
              <w:rPr>
                <w:i/>
              </w:rPr>
              <w:t xml:space="preserve">41.0%</w:t>
            </w:r>
          </w:p>
        </w:tc>
        <w:tc>
          <w:p>
            <w:pPr>
              <w:pStyle w:val="Compact"/>
              <w:jc w:val="left"/>
            </w:pPr>
            <w:r>
              <w:t xml:space="preserve">335 201</w:t>
            </w:r>
            <w:r>
              <w:t xml:space="preserve"> </w:t>
            </w:r>
            <w:r>
              <w:rPr>
                <w:i/>
              </w:rPr>
              <w:t xml:space="preserve">89.0%</w:t>
            </w:r>
          </w:p>
        </w:tc>
      </w:tr>
      <w:tr>
        <w:tc>
          <w:p>
            <w:pPr>
              <w:pStyle w:val="Compact"/>
              <w:jc w:val="left"/>
            </w:pPr>
            <w:r>
              <w:t xml:space="preserve">Zone RIP</w:t>
            </w:r>
          </w:p>
        </w:tc>
        <w:tc>
          <w:p>
            <w:pPr>
              <w:pStyle w:val="Compact"/>
              <w:jc w:val="left"/>
            </w:pPr>
            <w:r>
              <w:t xml:space="preserve">78 082</w:t>
            </w:r>
            <w:r>
              <w:t xml:space="preserve"> </w:t>
            </w:r>
            <w:r>
              <w:rPr>
                <w:i/>
              </w:rPr>
              <w:t xml:space="preserve">8.0%</w:t>
            </w:r>
          </w:p>
        </w:tc>
        <w:tc>
          <w:p>
            <w:pPr>
              <w:pStyle w:val="Compact"/>
              <w:jc w:val="left"/>
            </w:pPr>
            <w:r>
              <w:t xml:space="preserve">54 699</w:t>
            </w:r>
            <w:r>
              <w:t xml:space="preserve"> </w:t>
            </w:r>
            <w:r>
              <w:rPr>
                <w:i/>
              </w:rPr>
              <w:t xml:space="preserve">70.0%</w:t>
            </w:r>
          </w:p>
        </w:tc>
      </w:tr>
      <w:tr>
        <w:tc>
          <w:p>
            <w:pPr>
              <w:pStyle w:val="Compact"/>
              <w:jc w:val="left"/>
            </w:pPr>
            <w:r>
              <w:rPr>
                <w:b/>
              </w:rPr>
              <w:t xml:space="preserve">Total</w:t>
            </w:r>
          </w:p>
        </w:tc>
        <w:tc>
          <w:p>
            <w:pPr>
              <w:pStyle w:val="Compact"/>
              <w:jc w:val="left"/>
            </w:pPr>
            <w:r>
              <w:t xml:space="preserve">921 838</w:t>
            </w:r>
            <w:r>
              <w:t xml:space="preserve"> </w:t>
            </w:r>
            <w:r>
              <w:rPr>
                <w:i/>
              </w:rPr>
              <w:t xml:space="preserve">100%</w:t>
            </w:r>
          </w:p>
        </w:tc>
        <w:tc>
          <w:p>
            <w:pPr>
              <w:pStyle w:val="Compact"/>
              <w:jc w:val="left"/>
            </w:pPr>
            <w:r>
              <w:t xml:space="preserve">818 732</w:t>
            </w:r>
            <w:r>
              <w:t xml:space="preserve"> </w:t>
            </w:r>
            <w:r>
              <w:rPr>
                <w:i/>
              </w:rPr>
              <w:t xml:space="preserve">89.0%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24 en région «Provence-Alpes-Côte d’Azur» et 3 dans le département :</w:t>
      </w:r>
    </w:p>
    <w:p>
      <w:pPr>
        <w:pStyle w:val="Compact"/>
        <w:numPr>
          <w:numId w:val="1002"/>
          <w:ilvl w:val="0"/>
        </w:numPr>
      </w:pPr>
      <w:r>
        <w:t xml:space="preserve">Logis des Jeunes de Provence à Cannes</w:t>
      </w:r>
    </w:p>
    <w:p>
      <w:pPr>
        <w:pStyle w:val="Compact"/>
        <w:numPr>
          <w:numId w:val="1002"/>
          <w:ilvl w:val="0"/>
        </w:numPr>
      </w:pPr>
      <w:r>
        <w:t xml:space="preserve">S.C.I.C. T.E.T.R.I.S (Transition Ecologique Territoriale par la Recherche et l’Innovation Sociale) à Grasse</w:t>
      </w:r>
    </w:p>
    <w:p>
      <w:pPr>
        <w:pStyle w:val="Compact"/>
        <w:numPr>
          <w:numId w:val="1002"/>
          <w:ilvl w:val="0"/>
        </w:numPr>
      </w:pPr>
      <w:r>
        <w:t xml:space="preserve">Le Hublot à Nice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3 dans le département:</w:t>
      </w:r>
    </w:p>
    <w:p>
      <w:pPr>
        <w:pStyle w:val="Compact"/>
        <w:numPr>
          <w:numId w:val="1003"/>
          <w:ilvl w:val="0"/>
        </w:numPr>
      </w:pPr>
      <w:r>
        <w:t xml:space="preserve">Aromatic FabLab La Manufacture (Grasse)</w:t>
      </w:r>
    </w:p>
    <w:p>
      <w:pPr>
        <w:pStyle w:val="Compact"/>
        <w:numPr>
          <w:numId w:val="1003"/>
          <w:ilvl w:val="0"/>
        </w:numPr>
      </w:pPr>
      <w:r>
        <w:t xml:space="preserve">Manufacture de la Roya (La Brigue)</w:t>
      </w:r>
    </w:p>
    <w:p>
      <w:pPr>
        <w:pStyle w:val="Compact"/>
        <w:numPr>
          <w:numId w:val="1003"/>
          <w:ilvl w:val="0"/>
        </w:numPr>
      </w:pPr>
      <w:r>
        <w:t xml:space="preserve">Manufacture des CIMES (Coopérations Interprofessionnelles des Métiers de l’Ecoconstruction - Sud) (Gréolières)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«Provence-Alpes-Côte d’Azur» est couverte par le(s) Hub(s) :</w:t>
      </w:r>
      <w:r>
        <w:t xml:space="preserve"> </w:t>
      </w:r>
      <w:r>
        <w:t xml:space="preserve">Hub du Sud.</w:t>
      </w:r>
    </w:p>
    <w:p>
      <w:pPr>
        <w:pStyle w:val="Titre2"/>
      </w:pPr>
      <w:bookmarkStart w:id="27" w:name="conseillers-numériques"/>
      <w:r>
        <w:t xml:space="preserve">Conseillers numériques</w:t>
      </w:r>
      <w:bookmarkEnd w:id="27"/>
    </w:p>
    <w:p>
      <w:pPr>
        <w:pStyle w:val="Compact"/>
        <w:numPr>
          <w:numId w:val="1004"/>
          <w:ilvl w:val="0"/>
        </w:numPr>
      </w:pPr>
      <w:r>
        <w:t xml:space="preserve">47 CNFS validés dans 33 structures d’accueil</w:t>
      </w:r>
    </w:p>
    <w:p>
      <w:pPr>
        <w:pStyle w:val="Compact"/>
        <w:numPr>
          <w:numId w:val="1004"/>
          <w:ilvl w:val="0"/>
        </w:numPr>
      </w:pPr>
      <w:r>
        <w:t xml:space="preserve">37 CNFS recrutés</w:t>
      </w:r>
    </w:p>
    <w:p>
      <w:pPr>
        <w:pStyle w:val="Compact"/>
        <w:numPr>
          <w:numId w:val="1004"/>
          <w:ilvl w:val="0"/>
        </w:numPr>
      </w:pPr>
      <w:r>
        <w:t xml:space="preserve">0 CNFS en formation</w:t>
      </w:r>
    </w:p>
    <w:p>
      <w:pPr>
        <w:pStyle w:val="Compact"/>
        <w:numPr>
          <w:numId w:val="1004"/>
          <w:ilvl w:val="0"/>
        </w:numPr>
      </w:pPr>
      <w:r>
        <w:t xml:space="preserve">31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60 structures candidates</w:t>
      </w:r>
    </w:p>
    <w:p>
      <w:pPr>
        <w:pStyle w:val="Compact"/>
        <w:numPr>
          <w:numId w:val="1005"/>
          <w:ilvl w:val="0"/>
        </w:numPr>
      </w:pPr>
      <w:r>
        <w:t xml:space="preserve">276 aidants à habiliter au total</w:t>
      </w:r>
    </w:p>
    <w:p>
      <w:pPr>
        <w:pStyle w:val="Compact"/>
        <w:numPr>
          <w:numId w:val="1005"/>
          <w:ilvl w:val="0"/>
        </w:numPr>
      </w:pPr>
      <w:r>
        <w:t xml:space="preserve">59 structures ont finalisé leur habilitation (200 aidants formés au 16 septembre 2024)</w:t>
      </w:r>
    </w:p>
    <w:p>
      <w:pPr>
        <w:pStyle w:val="Titre2"/>
      </w:pPr>
      <w:bookmarkStart w:id="29" w:name="bases-adresses-locales"/>
      <w:r>
        <w:t xml:space="preserve">Bases adresses locales</w:t>
      </w:r>
      <w:bookmarkEnd w:id="29"/>
    </w:p>
    <w:p>
      <w:pPr>
        <w:pStyle w:val="FirstParagraph"/>
      </w:pPr>
      <w:r>
        <w:t xml:space="preserve">101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2024-09-19T02:14:08Z</dcterms:created>
  <dcterms:modified xsi:type="dcterms:W3CDTF">2024-09-19T02:14:08Z</dcterms:modified>
</cp:coreProperties>
</file>

<file path=docProps/custom.xml><?xml version="1.0" encoding="utf-8"?>
<Properties xmlns="http://schemas.openxmlformats.org/officeDocument/2006/custom-properties" xmlns:vt="http://schemas.openxmlformats.org/officeDocument/2006/docPropsVTypes"/>
</file>