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autes-alpes"/>
      <w:r>
        <w:t xml:space="preserve">Numérique «Hautes-Alpes»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«Provence-Alpes-Côte d’Azur», 337 sites ont été identifiés dont 72 dans le</w:t>
      </w:r>
      <w:r>
        <w:t xml:space="preserve"> </w:t>
      </w:r>
      <w:r>
        <w:t xml:space="preserve">département, parmi eux, 41 ont d’ores et déjà été mis en</w:t>
      </w:r>
      <w:r>
        <w:t xml:space="preserve"> </w:t>
      </w:r>
      <w:r>
        <w:t xml:space="preserve">service (sur un total de 163 mis en service au niveau régional).</w:t>
      </w:r>
    </w:p>
    <w:p>
      <w:pPr>
        <w:pStyle w:val="Corpsdetexte"/>
      </w:pPr>
      <w:r>
        <w:t xml:space="preserve">Dans le cadre du dispositif 4G fixe, dans la région</w:t>
      </w:r>
      <w:r>
        <w:t xml:space="preserve"> </w:t>
      </w:r>
      <w:r>
        <w:t xml:space="preserve">«Provence-Alpes-Côte d’Azur», 27 sites ont été identifiés dont 3 dans le</w:t>
      </w:r>
      <w:r>
        <w:t xml:space="preserve"> </w:t>
      </w:r>
      <w:r>
        <w:t xml:space="preserve">département, 2 ont déjà été mis en service</w:t>
      </w:r>
      <w:r>
        <w:t xml:space="preserve"> </w:t>
      </w:r>
      <w:r>
        <w:t xml:space="preserve">sur 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42865"/>
            <wp:effectExtent b="0" l="0" r="0" t="0"/>
            <wp:docPr descr="" title="" id="1" name="Picture"/>
            <a:graphic>
              <a:graphicData uri="http://schemas.openxmlformats.org/drawingml/2006/picture">
                <pic:pic>
                  <pic:nvPicPr>
                    <pic:cNvPr descr="/srv/insitu/outbox/infographies/haut_débit/05.png" id="0" name="Picture"/>
                    <pic:cNvPicPr>
                      <a:picLocks noChangeArrowheads="1" noChangeAspect="1"/>
                    </pic:cNvPicPr>
                  </pic:nvPicPr>
                  <pic:blipFill>
                    <a:blip r:embed="rId23"/>
                    <a:stretch>
                      <a:fillRect/>
                    </a:stretch>
                  </pic:blipFill>
                  <pic:spPr bwMode="auto">
                    <a:xfrm>
                      <a:off x="0" y="0"/>
                      <a:ext cx="4572000" cy="2342865"/>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XP Fibre sur 161 communes ;</w:t>
      </w:r>
    </w:p>
    <w:p>
      <w:pPr>
        <w:pStyle w:val="Compact"/>
        <w:numPr>
          <w:numId w:val="1001"/>
          <w:ilvl w:val="0"/>
        </w:numPr>
      </w:pPr>
      <w:r>
        <w:t xml:space="preserve">celle de Orange sur 1 communes ;</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135 287</w:t>
            </w:r>
            <w:r>
              <w:t xml:space="preserve"> </w:t>
            </w:r>
            <w:r>
              <w:rPr>
                <w:i/>
              </w:rPr>
              <w:t xml:space="preserve">83.0%</w:t>
            </w:r>
          </w:p>
        </w:tc>
        <w:tc>
          <w:p>
            <w:pPr>
              <w:pStyle w:val="Compact"/>
              <w:jc w:val="left"/>
            </w:pPr>
            <w:r>
              <w:t xml:space="preserve">110 159</w:t>
            </w:r>
            <w:r>
              <w:t xml:space="preserve"> </w:t>
            </w:r>
            <w:r>
              <w:rPr>
                <w:i/>
              </w:rPr>
              <w:t xml:space="preserve">81.0%</w:t>
            </w:r>
          </w:p>
        </w:tc>
      </w:tr>
      <w:tr>
        <w:tc>
          <w:p>
            <w:pPr>
              <w:pStyle w:val="Compact"/>
              <w:jc w:val="left"/>
            </w:pPr>
            <w:r>
              <w:t xml:space="preserve">Zone AMII</w:t>
            </w:r>
          </w:p>
        </w:tc>
        <w:tc>
          <w:p>
            <w:pPr>
              <w:pStyle w:val="Compact"/>
              <w:jc w:val="left"/>
            </w:pPr>
            <w:r>
              <w:t xml:space="preserve">28 027</w:t>
            </w:r>
            <w:r>
              <w:t xml:space="preserve"> </w:t>
            </w:r>
            <w:r>
              <w:rPr>
                <w:i/>
              </w:rPr>
              <w:t xml:space="preserve">17.0%</w:t>
            </w:r>
          </w:p>
        </w:tc>
        <w:tc>
          <w:p>
            <w:pPr>
              <w:pStyle w:val="Compact"/>
              <w:jc w:val="left"/>
            </w:pPr>
            <w:r>
              <w:t xml:space="preserve">24 589</w:t>
            </w:r>
            <w:r>
              <w:t xml:space="preserve"> </w:t>
            </w:r>
            <w:r>
              <w:rPr>
                <w:i/>
              </w:rPr>
              <w:t xml:space="preserve">88.0%</w:t>
            </w:r>
          </w:p>
        </w:tc>
      </w:tr>
      <w:tr>
        <w:tc>
          <w:p>
            <w:pPr>
              <w:pStyle w:val="Compact"/>
              <w:jc w:val="left"/>
            </w:pPr>
            <w:r>
              <w:rPr>
                <w:b/>
              </w:rPr>
              <w:t xml:space="preserve">Total</w:t>
            </w:r>
          </w:p>
        </w:tc>
        <w:tc>
          <w:p>
            <w:pPr>
              <w:pStyle w:val="Compact"/>
              <w:jc w:val="left"/>
            </w:pPr>
            <w:r>
              <w:t xml:space="preserve">163 314</w:t>
            </w:r>
            <w:r>
              <w:t xml:space="preserve"> </w:t>
            </w:r>
            <w:r>
              <w:rPr>
                <w:i/>
              </w:rPr>
              <w:t xml:space="preserve">100%</w:t>
            </w:r>
          </w:p>
        </w:tc>
        <w:tc>
          <w:p>
            <w:pPr>
              <w:pStyle w:val="Compact"/>
              <w:jc w:val="left"/>
            </w:pPr>
            <w:r>
              <w:t xml:space="preserve">134 748</w:t>
            </w:r>
            <w:r>
              <w:t xml:space="preserve"> </w:t>
            </w:r>
            <w:r>
              <w:rPr>
                <w:i/>
              </w:rPr>
              <w:t xml:space="preserve">83.0%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24 en région «Provence-Alpes-Côte d’Azur» et 2 dans le département :</w:t>
      </w:r>
    </w:p>
    <w:p>
      <w:pPr>
        <w:pStyle w:val="Compact"/>
        <w:numPr>
          <w:numId w:val="1002"/>
          <w:ilvl w:val="0"/>
        </w:numPr>
      </w:pPr>
      <w:r>
        <w:t xml:space="preserve">Initiative Alpes Provence à Gap</w:t>
      </w:r>
    </w:p>
    <w:p>
      <w:pPr>
        <w:pStyle w:val="Compact"/>
        <w:numPr>
          <w:numId w:val="1002"/>
          <w:ilvl w:val="0"/>
        </w:numPr>
      </w:pPr>
      <w:r>
        <w:t xml:space="preserve">Court Circuit à Veynes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«Provence-Alpes-Côte d’Azur» est couverte par le(s) Hub(s) :</w:t>
      </w:r>
      <w:r>
        <w:t xml:space="preserve"> </w:t>
      </w:r>
      <w:r>
        <w:t xml:space="preserve">Hub du Sud.</w:t>
      </w:r>
    </w:p>
    <w:p>
      <w:pPr>
        <w:pStyle w:val="Titre2"/>
      </w:pPr>
      <w:bookmarkStart w:id="27" w:name="conseillers-numériques"/>
      <w:r>
        <w:t xml:space="preserve">Conseillers numériques</w:t>
      </w:r>
      <w:bookmarkEnd w:id="27"/>
    </w:p>
    <w:p>
      <w:pPr>
        <w:pStyle w:val="Compact"/>
        <w:numPr>
          <w:numId w:val="1003"/>
          <w:ilvl w:val="0"/>
        </w:numPr>
      </w:pPr>
      <w:r>
        <w:t xml:space="preserve">27 CNFS validés dans 16 structures d’accueil</w:t>
      </w:r>
    </w:p>
    <w:p>
      <w:pPr>
        <w:pStyle w:val="Compact"/>
        <w:numPr>
          <w:numId w:val="1003"/>
          <w:ilvl w:val="0"/>
        </w:numPr>
      </w:pPr>
      <w:r>
        <w:t xml:space="preserve">18 CNFS recrutés</w:t>
      </w:r>
    </w:p>
    <w:p>
      <w:pPr>
        <w:pStyle w:val="Compact"/>
        <w:numPr>
          <w:numId w:val="1003"/>
          <w:ilvl w:val="0"/>
        </w:numPr>
      </w:pPr>
      <w:r>
        <w:t xml:space="preserve">0 CNFS en formation</w:t>
      </w:r>
    </w:p>
    <w:p>
      <w:pPr>
        <w:pStyle w:val="Compact"/>
        <w:numPr>
          <w:numId w:val="1003"/>
          <w:ilvl w:val="0"/>
        </w:numPr>
      </w:pPr>
      <w:r>
        <w:t xml:space="preserve">16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12 structures candidates</w:t>
      </w:r>
    </w:p>
    <w:p>
      <w:pPr>
        <w:pStyle w:val="Compact"/>
        <w:numPr>
          <w:numId w:val="1004"/>
          <w:ilvl w:val="0"/>
        </w:numPr>
      </w:pPr>
      <w:r>
        <w:t xml:space="preserve">42 aidants à habiliter au total</w:t>
      </w:r>
    </w:p>
    <w:p>
      <w:pPr>
        <w:pStyle w:val="Compact"/>
        <w:numPr>
          <w:numId w:val="1004"/>
          <w:ilvl w:val="0"/>
        </w:numPr>
      </w:pPr>
      <w:r>
        <w:t xml:space="preserve">12 structures ont finalisé leur habilitation (39 aidants formés au 16 septembre 2024)</w:t>
      </w:r>
    </w:p>
    <w:p>
      <w:pPr>
        <w:pStyle w:val="Titre2"/>
      </w:pPr>
      <w:bookmarkStart w:id="29" w:name="bases-adresses-locales"/>
      <w:r>
        <w:t xml:space="preserve">Bases adresses locales</w:t>
      </w:r>
      <w:bookmarkEnd w:id="29"/>
    </w:p>
    <w:p>
      <w:pPr>
        <w:pStyle w:val="FirstParagraph"/>
      </w:pPr>
      <w:r>
        <w:t xml:space="preserve">159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2024-09-19T02:14:07Z</dcterms:created>
  <dcterms:modified xsi:type="dcterms:W3CDTF">2024-09-19T02:14:07Z</dcterms:modified>
</cp:coreProperties>
</file>

<file path=docProps/custom.xml><?xml version="1.0" encoding="utf-8"?>
<Properties xmlns="http://schemas.openxmlformats.org/officeDocument/2006/custom-properties" xmlns:vt="http://schemas.openxmlformats.org/officeDocument/2006/docPropsVTypes"/>
</file>