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in"/>
      <w:r>
        <w:t xml:space="preserve">Numérique «Ain»</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67 dans le</w:t>
      </w:r>
      <w:r>
        <w:t xml:space="preserve"> </w:t>
      </w:r>
      <w:r>
        <w:t xml:space="preserve">département, parmi eux, 45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5 dans le</w:t>
      </w:r>
      <w:r>
        <w:t xml:space="preserve"> </w:t>
      </w:r>
      <w:r>
        <w:t xml:space="preserve">département, 4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49498"/>
            <wp:effectExtent b="0" l="0" r="0" t="0"/>
            <wp:docPr descr="" title="" id="1" name="Picture"/>
            <a:graphic>
              <a:graphicData uri="http://schemas.openxmlformats.org/drawingml/2006/picture">
                <pic:pic>
                  <pic:nvPicPr>
                    <pic:cNvPr descr="/srv/insitu/outbox/infographies/haut_débit/01.png" id="0" name="Picture"/>
                    <pic:cNvPicPr>
                      <a:picLocks noChangeArrowheads="1" noChangeAspect="1"/>
                    </pic:cNvPicPr>
                  </pic:nvPicPr>
                  <pic:blipFill>
                    <a:blip r:embed="rId23"/>
                    <a:stretch>
                      <a:fillRect/>
                    </a:stretch>
                  </pic:blipFill>
                  <pic:spPr bwMode="auto">
                    <a:xfrm>
                      <a:off x="0" y="0"/>
                      <a:ext cx="4572000" cy="2449498"/>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15 communes ;</w:t>
      </w:r>
    </w:p>
    <w:p>
      <w:pPr>
        <w:pStyle w:val="Compact"/>
        <w:numPr>
          <w:numId w:val="1001"/>
          <w:ilvl w:val="0"/>
        </w:numPr>
      </w:pPr>
      <w:r>
        <w:t xml:space="preserve">celle de SIEA dans la zone d’initiative publique qui comprend 377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70 183</w:t>
            </w:r>
            <w:r>
              <w:t xml:space="preserve"> </w:t>
            </w:r>
            <w:r>
              <w:rPr>
                <w:i/>
              </w:rPr>
              <w:t xml:space="preserve">17.0%</w:t>
            </w:r>
          </w:p>
        </w:tc>
        <w:tc>
          <w:p>
            <w:pPr>
              <w:pStyle w:val="Compact"/>
              <w:jc w:val="left"/>
            </w:pPr>
            <w:r>
              <w:t xml:space="preserve">65 835</w:t>
            </w:r>
            <w:r>
              <w:t xml:space="preserve"> </w:t>
            </w:r>
            <w:r>
              <w:rPr>
                <w:i/>
              </w:rPr>
              <w:t xml:space="preserve">94.0%</w:t>
            </w:r>
          </w:p>
        </w:tc>
      </w:tr>
      <w:tr>
        <w:tc>
          <w:p>
            <w:pPr>
              <w:pStyle w:val="Compact"/>
              <w:jc w:val="left"/>
            </w:pPr>
            <w:r>
              <w:t xml:space="preserve">Zone RIP</w:t>
            </w:r>
          </w:p>
        </w:tc>
        <w:tc>
          <w:p>
            <w:pPr>
              <w:pStyle w:val="Compact"/>
              <w:jc w:val="left"/>
            </w:pPr>
            <w:r>
              <w:t xml:space="preserve">348 276</w:t>
            </w:r>
            <w:r>
              <w:t xml:space="preserve"> </w:t>
            </w:r>
            <w:r>
              <w:rPr>
                <w:i/>
              </w:rPr>
              <w:t xml:space="preserve">83.0%</w:t>
            </w:r>
          </w:p>
        </w:tc>
        <w:tc>
          <w:p>
            <w:pPr>
              <w:pStyle w:val="Compact"/>
              <w:jc w:val="left"/>
            </w:pPr>
            <w:r>
              <w:t xml:space="preserve">253 039</w:t>
            </w:r>
            <w:r>
              <w:t xml:space="preserve"> </w:t>
            </w:r>
            <w:r>
              <w:rPr>
                <w:i/>
              </w:rPr>
              <w:t xml:space="preserve">73.0%</w:t>
            </w:r>
          </w:p>
        </w:tc>
      </w:tr>
      <w:tr>
        <w:tc>
          <w:p>
            <w:pPr>
              <w:pStyle w:val="Compact"/>
              <w:jc w:val="left"/>
            </w:pPr>
            <w:r>
              <w:rPr>
                <w:b/>
              </w:rPr>
              <w:t xml:space="preserve">Total</w:t>
            </w:r>
          </w:p>
        </w:tc>
        <w:tc>
          <w:p>
            <w:pPr>
              <w:pStyle w:val="Compact"/>
              <w:jc w:val="left"/>
            </w:pPr>
            <w:r>
              <w:t xml:space="preserve">418 459</w:t>
            </w:r>
            <w:r>
              <w:t xml:space="preserve"> </w:t>
            </w:r>
            <w:r>
              <w:rPr>
                <w:i/>
              </w:rPr>
              <w:t xml:space="preserve">100%</w:t>
            </w:r>
          </w:p>
        </w:tc>
        <w:tc>
          <w:p>
            <w:pPr>
              <w:pStyle w:val="Compact"/>
              <w:jc w:val="left"/>
            </w:pPr>
            <w:r>
              <w:t xml:space="preserve">318 874</w:t>
            </w:r>
            <w:r>
              <w:t xml:space="preserve"> </w:t>
            </w:r>
            <w:r>
              <w:rPr>
                <w:i/>
              </w:rPr>
              <w:t xml:space="preserve">76.0%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2 dans le département :</w:t>
      </w:r>
    </w:p>
    <w:p>
      <w:pPr>
        <w:pStyle w:val="Compact"/>
        <w:numPr>
          <w:numId w:val="1002"/>
          <w:ilvl w:val="0"/>
        </w:numPr>
      </w:pPr>
      <w:r>
        <w:t xml:space="preserve">LAB01 à Ambérieu-en-Bugey</w:t>
      </w:r>
    </w:p>
    <w:p>
      <w:pPr>
        <w:pStyle w:val="Compact"/>
        <w:numPr>
          <w:numId w:val="1002"/>
          <w:ilvl w:val="0"/>
        </w:numPr>
      </w:pPr>
      <w:r>
        <w:t xml:space="preserve">Pangloss Labs à Ferney-Voltaire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Fablab+ (Ferney-Voltaire)</w:t>
      </w:r>
    </w:p>
    <w:p>
      <w:pPr>
        <w:pStyle w:val="Compact"/>
        <w:numPr>
          <w:numId w:val="1003"/>
          <w:ilvl w:val="0"/>
        </w:numPr>
      </w:pPr>
      <w:r>
        <w:t xml:space="preserve">L’Atelien (Bourg-en-Bresse)</w:t>
      </w:r>
    </w:p>
    <w:p>
      <w:pPr>
        <w:pStyle w:val="Compact"/>
        <w:numPr>
          <w:numId w:val="1003"/>
          <w:ilvl w:val="0"/>
        </w:numPr>
      </w:pPr>
      <w:r>
        <w:t xml:space="preserve">Manufacture de Proximité pour la transition alimentaire (Trévoux)</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40 CNFS validés dans 28 structures d’accueil</w:t>
      </w:r>
    </w:p>
    <w:p>
      <w:pPr>
        <w:pStyle w:val="Compact"/>
        <w:numPr>
          <w:numId w:val="1004"/>
          <w:ilvl w:val="0"/>
        </w:numPr>
      </w:pPr>
      <w:r>
        <w:t xml:space="preserve">34 CNFS recrutés</w:t>
      </w:r>
    </w:p>
    <w:p>
      <w:pPr>
        <w:pStyle w:val="Compact"/>
        <w:numPr>
          <w:numId w:val="1004"/>
          <w:ilvl w:val="0"/>
        </w:numPr>
      </w:pPr>
      <w:r>
        <w:t xml:space="preserve">0 CNFS en formation</w:t>
      </w:r>
    </w:p>
    <w:p>
      <w:pPr>
        <w:pStyle w:val="Compact"/>
        <w:numPr>
          <w:numId w:val="1004"/>
          <w:ilvl w:val="0"/>
        </w:numPr>
      </w:pPr>
      <w:r>
        <w:t xml:space="preserve">31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34 structures candidates</w:t>
      </w:r>
    </w:p>
    <w:p>
      <w:pPr>
        <w:pStyle w:val="Compact"/>
        <w:numPr>
          <w:numId w:val="1005"/>
          <w:ilvl w:val="0"/>
        </w:numPr>
      </w:pPr>
      <w:r>
        <w:t xml:space="preserve">99 aidants à habiliter au total</w:t>
      </w:r>
    </w:p>
    <w:p>
      <w:pPr>
        <w:pStyle w:val="Compact"/>
        <w:numPr>
          <w:numId w:val="1005"/>
          <w:ilvl w:val="0"/>
        </w:numPr>
      </w:pPr>
      <w:r>
        <w:t xml:space="preserve">34 structures ont finalisé leur habilitation (95 aidants formés au 16 septembre 2024)</w:t>
      </w:r>
    </w:p>
    <w:p>
      <w:pPr>
        <w:pStyle w:val="Titre2"/>
      </w:pPr>
      <w:bookmarkStart w:id="29" w:name="bases-adresses-locales"/>
      <w:r>
        <w:t xml:space="preserve">Bases adresses locales</w:t>
      </w:r>
      <w:bookmarkEnd w:id="29"/>
    </w:p>
    <w:p>
      <w:pPr>
        <w:pStyle w:val="FirstParagraph"/>
      </w:pPr>
      <w:r>
        <w:t xml:space="preserve">191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04:13.</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2024-09-19T02:13:59Z</dcterms:created>
  <dcterms:modified xsi:type="dcterms:W3CDTF">2024-09-19T02:13:59Z</dcterms:modified>
</cp:coreProperties>
</file>

<file path=docProps/custom.xml><?xml version="1.0" encoding="utf-8"?>
<Properties xmlns="http://schemas.openxmlformats.org/officeDocument/2006/custom-properties" xmlns:vt="http://schemas.openxmlformats.org/officeDocument/2006/docPropsVTypes"/>
</file>