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ali.karimi@tco.re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None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Plan partenarial d’aménagement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1- promouvoir l’attractivité du territoire et créer une économie durable et résiliente</w:t>
      </w:r>
    </w:p>
    <w:p>
      <w:pPr>
        <w:numPr>
          <w:ilvl w:val="0"/>
          <w:numId w:val="1004"/>
        </w:numPr>
        <w:pStyle w:val="Compact"/>
      </w:pPr>
      <w:r>
        <w:t xml:space="preserve">2 - engager une stratégie pour un territoire économe en énergie et en faveur de la protection de l’environnement</w:t>
      </w:r>
    </w:p>
    <w:p>
      <w:pPr>
        <w:numPr>
          <w:ilvl w:val="0"/>
          <w:numId w:val="1004"/>
        </w:numPr>
        <w:pStyle w:val="Compact"/>
      </w:pPr>
      <w:r>
        <w:t xml:space="preserve">3 - favoriser l’écomobilité</w:t>
      </w:r>
    </w:p>
    <w:p>
      <w:pPr>
        <w:numPr>
          <w:ilvl w:val="0"/>
          <w:numId w:val="1004"/>
        </w:numPr>
        <w:pStyle w:val="Compact"/>
      </w:pPr>
      <w:r>
        <w:t xml:space="preserve">4 - améliorer le cadre de vie de la population via la création d’une offre de service équilibrée à l’echelle du TCO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Corpsdetexte"/>
      </w:pPr>
      <w:r>
        <w:t xml:space="preserve">Nombre de fiches projet (opération à travailler) : 18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numPr>
          <w:ilvl w:val="0"/>
          <w:numId w:val="1006"/>
        </w:numPr>
        <w:pStyle w:val="Compact"/>
      </w:pPr>
      <w:r>
        <w:t xml:space="preserve">Conférence des maires</w:t>
      </w:r>
    </w:p>
    <w:p>
      <w:pPr>
        <w:numPr>
          <w:ilvl w:val="0"/>
          <w:numId w:val="1006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acteurs privés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2023-04-12T16:33:12Z</dcterms:created>
  <dcterms:modified xsi:type="dcterms:W3CDTF">2023-04-12T16:33:12Z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