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01 février 2023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la Riviera du Levant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 Riviéra du Levant, SIREN : 200041507,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Des centre-bourgs revitalisés, interconnectés et tournés vers un littoral préservé et attractif</w:t>
      </w:r>
    </w:p>
    <w:p>
      <w:pPr>
        <w:numPr>
          <w:ilvl w:val="0"/>
          <w:numId w:val="1003"/>
        </w:numPr>
        <w:pStyle w:val="Compact"/>
      </w:pPr>
      <w:r>
        <w:t xml:space="preserve">Un territoire jeune et solidaire, pourvoyeur d’activités sportives, culturelles et regénératives</w:t>
      </w:r>
    </w:p>
    <w:p>
      <w:pPr>
        <w:numPr>
          <w:ilvl w:val="0"/>
          <w:numId w:val="1003"/>
        </w:numPr>
        <w:pStyle w:val="Compact"/>
      </w:pPr>
      <w:r>
        <w:t xml:space="preserve">Un tourisme vertueux au service d’un développement endogène valorisant les ressources naturelles et l’économie circulaire</w:t>
      </w:r>
    </w:p>
    <w:p>
      <w:pPr>
        <w:numPr>
          <w:ilvl w:val="0"/>
          <w:numId w:val="1003"/>
        </w:numPr>
        <w:pStyle w:val="Compact"/>
      </w:pPr>
      <w:r>
        <w:t xml:space="preserve">Une compensation écologique par l’offre au service de la préservation de la biodiversité et de la valorisation du foncier naturel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CA La Riviéra du Levant, SIREN : 200041507, nature : CA</w:t>
      </w:r>
    </w:p>
    <w:p>
      <w:pPr>
        <w:numPr>
          <w:ilvl w:val="0"/>
          <w:numId w:val="1005"/>
        </w:numPr>
        <w:pStyle w:val="Compact"/>
      </w:pPr>
      <w:r>
        <w:t xml:space="preserve">prefecture de 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ARMOS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2023-04-12T16:32:30Z</dcterms:created>
  <dcterms:modified xsi:type="dcterms:W3CDTF">2023-04-12T16:32:30Z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