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sania.belenus@guadeloupe.gouv.fr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CAP Excellence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CAP Excellence, SIREN : 200018653,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Schéma directeur territorial d’aménagement numérique (SDTAN)</w:t>
      </w:r>
    </w:p>
    <w:p>
      <w:pPr>
        <w:numPr>
          <w:ilvl w:val="0"/>
          <w:numId w:val="1002"/>
        </w:numPr>
        <w:pStyle w:val="Compact"/>
      </w:pPr>
      <w:r>
        <w:t xml:space="preserve">Stratégie de cohérence régional d’aménagement numérique (SCoRAN)</w:t>
      </w:r>
    </w:p>
    <w:p>
      <w:pPr>
        <w:numPr>
          <w:ilvl w:val="0"/>
          <w:numId w:val="1002"/>
        </w:numPr>
        <w:pStyle w:val="Compact"/>
      </w:pPr>
      <w:r>
        <w:t xml:space="preserve">Plan de Développement de l’Economie Numérique (PDEN)</w:t>
      </w:r>
    </w:p>
    <w:p>
      <w:pPr>
        <w:numPr>
          <w:ilvl w:val="0"/>
          <w:numId w:val="1002"/>
        </w:numPr>
        <w:pStyle w:val="Compact"/>
      </w:pPr>
      <w:r>
        <w:t xml:space="preserve">Schéma Directeur des Usages Numériques (SDUN)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Intercommunal de Lutte contre l’Habitat Indigne (PILHI)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Plan local de prévention des déchets ménagers et assimilés (PLPDMA)</w:t>
      </w:r>
    </w:p>
    <w:p>
      <w:pPr>
        <w:numPr>
          <w:ilvl w:val="0"/>
          <w:numId w:val="1002"/>
        </w:numPr>
        <w:pStyle w:val="Compact"/>
      </w:pPr>
      <w:r>
        <w:t xml:space="preserve">Schéma régional climat air énergie (SRCAE)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 (PRPGD)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PASEC</w:t>
      </w:r>
    </w:p>
    <w:p>
      <w:pPr>
        <w:numPr>
          <w:ilvl w:val="0"/>
          <w:numId w:val="1002"/>
        </w:numPr>
        <w:pStyle w:val="Compact"/>
      </w:pPr>
      <w:r>
        <w:t xml:space="preserve">SDDE</w:t>
      </w:r>
    </w:p>
    <w:p>
      <w:pPr>
        <w:numPr>
          <w:ilvl w:val="0"/>
          <w:numId w:val="1002"/>
        </w:numPr>
        <w:pStyle w:val="Compact"/>
      </w:pPr>
      <w:r>
        <w:t xml:space="preserve">Stratégie patrimoniale et immobilière</w:t>
      </w:r>
    </w:p>
    <w:p>
      <w:pPr>
        <w:numPr>
          <w:ilvl w:val="0"/>
          <w:numId w:val="1002"/>
        </w:numPr>
        <w:pStyle w:val="Compact"/>
      </w:pPr>
      <w:r>
        <w:t xml:space="preserve">Stratégie foncière</w:t>
      </w:r>
    </w:p>
    <w:p>
      <w:pPr>
        <w:numPr>
          <w:ilvl w:val="0"/>
          <w:numId w:val="1002"/>
        </w:numPr>
        <w:pStyle w:val="Compact"/>
      </w:pPr>
      <w:r>
        <w:t xml:space="preserve">Plan paysage des grands fonds</w:t>
      </w:r>
    </w:p>
    <w:p>
      <w:pPr>
        <w:numPr>
          <w:ilvl w:val="0"/>
          <w:numId w:val="1002"/>
        </w:numPr>
        <w:pStyle w:val="Compact"/>
      </w:pPr>
      <w:r>
        <w:t xml:space="preserve">SREII</w:t>
      </w:r>
    </w:p>
    <w:p>
      <w:pPr>
        <w:numPr>
          <w:ilvl w:val="0"/>
          <w:numId w:val="1002"/>
        </w:numPr>
        <w:pStyle w:val="Compact"/>
      </w:pPr>
      <w:r>
        <w:t xml:space="preserve">CCT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Stratégie locale de gestion du risque inondation</w:t>
      </w:r>
    </w:p>
    <w:p>
      <w:pPr>
        <w:numPr>
          <w:ilvl w:val="0"/>
          <w:numId w:val="1002"/>
        </w:numPr>
        <w:pStyle w:val="Compact"/>
      </w:pPr>
      <w:r>
        <w:t xml:space="preserve">NPRNU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NPRU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Projets alimentaires territoriaux</w:t>
      </w:r>
    </w:p>
    <w:p>
      <w:pPr>
        <w:numPr>
          <w:ilvl w:val="0"/>
          <w:numId w:val="1003"/>
        </w:numPr>
        <w:pStyle w:val="Compact"/>
      </w:pPr>
      <w:r>
        <w:t xml:space="preserve">contrat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OS 1 : Bâtir un modèle économique viable</w:t>
      </w:r>
    </w:p>
    <w:p>
      <w:pPr>
        <w:numPr>
          <w:ilvl w:val="0"/>
          <w:numId w:val="1005"/>
        </w:numPr>
        <w:pStyle w:val="Compact"/>
      </w:pPr>
      <w:r>
        <w:t xml:space="preserve">OS 2 : Accompagner les mutations de notre société</w:t>
      </w:r>
    </w:p>
    <w:p>
      <w:pPr>
        <w:numPr>
          <w:ilvl w:val="0"/>
          <w:numId w:val="1005"/>
        </w:numPr>
        <w:pStyle w:val="Compact"/>
      </w:pPr>
      <w:r>
        <w:t xml:space="preserve">OS 3 : Faire face aux défis environnementaux</w:t>
      </w:r>
    </w:p>
    <w:p>
      <w:pPr>
        <w:numPr>
          <w:ilvl w:val="0"/>
          <w:numId w:val="1005"/>
        </w:numPr>
        <w:pStyle w:val="Compact"/>
      </w:pPr>
      <w:r>
        <w:t xml:space="preserve">OS 4 : Aménager raisonnablement notre territoire</w:t>
      </w:r>
    </w:p>
    <w:p>
      <w:pPr>
        <w:numPr>
          <w:ilvl w:val="0"/>
          <w:numId w:val="1005"/>
        </w:numPr>
        <w:pStyle w:val="Compact"/>
      </w:pPr>
      <w:r>
        <w:t xml:space="preserve">OS 5 : Améliorer l’efficacité des interventions publiques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73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CAP Excellence, SIREN : 200018653, nature : CA</w:t>
      </w:r>
    </w:p>
    <w:p>
      <w:pPr>
        <w:numPr>
          <w:ilvl w:val="0"/>
          <w:numId w:val="1007"/>
        </w:numPr>
        <w:pStyle w:val="Compact"/>
      </w:pPr>
      <w:r>
        <w:t xml:space="preserve">nom : Guadeloupe, SIREN : 01, nature : region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AFD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Pointe-à-Pitre, SIREN : 97120, nature : commune</w:t>
      </w:r>
    </w:p>
    <w:p>
      <w:pPr>
        <w:numPr>
          <w:ilvl w:val="0"/>
          <w:numId w:val="1007"/>
        </w:numPr>
        <w:pStyle w:val="Compact"/>
      </w:pPr>
      <w:r>
        <w:t xml:space="preserve">nom : Baie-Mahault, SIREN : 97103,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Abymes, SIREN : 97101, nature : commune</w:t>
      </w:r>
    </w:p>
    <w:p>
      <w:pPr>
        <w:numPr>
          <w:ilvl w:val="0"/>
          <w:numId w:val="1007"/>
        </w:numPr>
        <w:pStyle w:val="Compact"/>
      </w:pPr>
      <w:r>
        <w:t xml:space="preserve">nom : Guadeloupe, SIREN : 971,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financeurs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Conseil citoyen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Conseil départemental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Préfecture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numPr>
          <w:ilvl w:val="0"/>
          <w:numId w:val="1009"/>
        </w:numPr>
        <w:pStyle w:val="Compact"/>
      </w:pPr>
      <w:r>
        <w:t xml:space="preserve">Commune de Pointe-à-Pitre</w:t>
      </w:r>
    </w:p>
    <w:p>
      <w:pPr>
        <w:numPr>
          <w:ilvl w:val="0"/>
          <w:numId w:val="1009"/>
        </w:numPr>
        <w:pStyle w:val="Compact"/>
      </w:pPr>
      <w:r>
        <w:t xml:space="preserve">Commune de Baie-Mahault</w:t>
      </w:r>
    </w:p>
    <w:p>
      <w:pPr>
        <w:numPr>
          <w:ilvl w:val="0"/>
          <w:numId w:val="1009"/>
        </w:numPr>
        <w:pStyle w:val="Compact"/>
      </w:pPr>
      <w:r>
        <w:t xml:space="preserve">Commune des Abymes</w:t>
      </w:r>
    </w:p>
    <w:p>
      <w:pPr>
        <w:numPr>
          <w:ilvl w:val="0"/>
          <w:numId w:val="1009"/>
        </w:numPr>
        <w:pStyle w:val="Compact"/>
      </w:pPr>
      <w:r>
        <w:t xml:space="preserve">EPF de Guadeloupe</w:t>
      </w:r>
    </w:p>
    <w:p>
      <w:pPr>
        <w:numPr>
          <w:ilvl w:val="0"/>
          <w:numId w:val="1009"/>
        </w:numPr>
        <w:pStyle w:val="Compact"/>
      </w:pPr>
      <w:r>
        <w:t xml:space="preserve">La chambre d’agriculture de Guadeloupe</w:t>
      </w:r>
    </w:p>
    <w:p>
      <w:pPr>
        <w:numPr>
          <w:ilvl w:val="0"/>
          <w:numId w:val="1009"/>
        </w:numPr>
        <w:pStyle w:val="Compact"/>
      </w:pPr>
      <w:r>
        <w:t xml:space="preserve">La chambre des métiers et de l’artisanat</w:t>
      </w:r>
    </w:p>
    <w:p>
      <w:pPr>
        <w:numPr>
          <w:ilvl w:val="0"/>
          <w:numId w:val="1009"/>
        </w:numPr>
        <w:pStyle w:val="Compact"/>
      </w:pPr>
      <w:r>
        <w:t xml:space="preserve">La chambre de commerce et d’industrie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1.25M€</w:t>
      </w:r>
    </w:p>
    <w:p>
      <w:pPr>
        <w:pStyle w:val="Corpsdetexte"/>
      </w:pPr>
      <w:r>
        <w:t xml:space="preserve">Montant total en euros des engagements financiers de l’Etat et de ses opérateurs Plan de relance : 3.89M€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11.91M€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2023-04-12T16:33:44Z</dcterms:created>
  <dcterms:modified xsi:type="dcterms:W3CDTF">2023-04-12T16:33:44Z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