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lucas.mounier@haute-vienne.gouv.fr</w:t>
      </w:r>
    </w:p>
    <w:p>
      <w:pPr>
        <w:pStyle w:val="Corpsdetexte"/>
      </w:pPr>
      <w:r>
        <w:t xml:space="preserve">Date de signature du CRTE : 04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Porte Océane du Limousin</w:t>
      </w:r>
    </w:p>
    <w:p>
      <w:pPr>
        <w:pStyle w:val="Corpsdetexte"/>
      </w:pPr>
      <w:r>
        <w:t xml:space="preserve">Si protocole de préfiguration : date de signature : 2021-05-12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Porte Océane du Limousin, SIREN : 200059400,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Fond friche 2020</w:t>
      </w:r>
    </w:p>
    <w:p>
      <w:pPr>
        <w:numPr>
          <w:ilvl w:val="0"/>
          <w:numId w:val="1003"/>
        </w:numPr>
        <w:pStyle w:val="Compact"/>
      </w:pPr>
      <w:r>
        <w:t xml:space="preserve">conventionnement avec l’Etablissement Public Foncier de Nouvelle-Aquitaine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 et le Conseil Départemental</w:t>
      </w:r>
    </w:p>
    <w:p>
      <w:pPr>
        <w:numPr>
          <w:ilvl w:val="0"/>
          <w:numId w:val="1003"/>
        </w:numPr>
        <w:pStyle w:val="Compact"/>
      </w:pPr>
      <w:r>
        <w:t xml:space="preserve">programmation de fonds européens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Développer l’attractivité et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Travailler à un aménagement durable et solidaire de nos communes</w:t>
      </w:r>
    </w:p>
    <w:p>
      <w:pPr>
        <w:numPr>
          <w:ilvl w:val="0"/>
          <w:numId w:val="1005"/>
        </w:numPr>
        <w:pStyle w:val="Compact"/>
      </w:pPr>
      <w:r>
        <w:t xml:space="preserve">Orientation 3 : Favoriser l’accès aux services et aux loisirs à tous,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Encourager un développement économique et commercial équilibré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Porte Océane du Limousin, SIREN : 200059400, nature : CC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Périgord-Limousin, SIREN : 258728534, nature : SMO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dépots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6 322€</w:t>
      </w:r>
    </w:p>
    <w:p>
      <w:pPr>
        <w:pStyle w:val="Corpsdetexte"/>
      </w:pPr>
      <w:r>
        <w:t xml:space="preserve">Montant total prévisionnel en euros des actions en dépenses d’investissement : 18.54M€</w:t>
      </w:r>
    </w:p>
    <w:p>
      <w:pPr>
        <w:pStyle w:val="Corpsdetexte"/>
      </w:pPr>
      <w:r>
        <w:t xml:space="preserve">Montant total en euros des engagements financiers des collectivités locales et leurs établissements publics : 12.06M€</w:t>
      </w:r>
    </w:p>
    <w:p>
      <w:pPr>
        <w:pStyle w:val="Corpsdetexte"/>
      </w:pPr>
      <w:r>
        <w:t xml:space="preserve">Montant total en euros des engagements financiers de l’Etat et de ses opérateurs Plan de relance : 557 415€</w:t>
      </w:r>
    </w:p>
    <w:p>
      <w:pPr>
        <w:pStyle w:val="Corpsdetexte"/>
      </w:pPr>
      <w:r>
        <w:t xml:space="preserve">Montant total en euros des engagements financiers de l’Etat et de ses opérateurs hors plan de relance : 4.08M€</w:t>
      </w:r>
    </w:p>
    <w:p>
      <w:pPr>
        <w:pStyle w:val="Corpsdetexte"/>
      </w:pPr>
      <w:r>
        <w:t xml:space="preserve">Montant total prévisionnel en euros des cofinancements européens : 162 645€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2023-04-12T16:28:03Z</dcterms:created>
  <dcterms:modified xsi:type="dcterms:W3CDTF">2023-04-12T16:28:03Z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