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d’Apt Luberon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d’Apt-Luberon, SIREN : 200040624, nature : CC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Faire reconnaitre l’existence du bassin de vie de proximité et garantir l’ensemble de ces fonctions</w:t>
      </w:r>
    </w:p>
    <w:p>
      <w:pPr>
        <w:numPr>
          <w:ilvl w:val="0"/>
          <w:numId w:val="1005"/>
        </w:numPr>
        <w:pStyle w:val="Compact"/>
      </w:pPr>
      <w:r>
        <w:t xml:space="preserve">Organiser un mode de développement en faveur des polarités du territoire, afin d’enrayer le phénomène de périurbanisation</w:t>
      </w:r>
    </w:p>
    <w:p>
      <w:pPr>
        <w:numPr>
          <w:ilvl w:val="0"/>
          <w:numId w:val="1005"/>
        </w:numPr>
        <w:pStyle w:val="Compact"/>
      </w:pPr>
      <w:r>
        <w:t xml:space="preserve">Prioriser la production de logements pour répondre aux besoins des habitants permanents</w:t>
      </w:r>
    </w:p>
    <w:p>
      <w:pPr>
        <w:numPr>
          <w:ilvl w:val="0"/>
          <w:numId w:val="1005"/>
        </w:numPr>
        <w:pStyle w:val="Compact"/>
      </w:pPr>
      <w:r>
        <w:t xml:space="preserve">Une gestion économe de l’espace pour diviser par deux la consommation d’espaces agricoles et naturels afin de promouvoir un urbanisme plus vertueux</w:t>
      </w:r>
    </w:p>
    <w:p>
      <w:pPr>
        <w:numPr>
          <w:ilvl w:val="0"/>
          <w:numId w:val="1005"/>
        </w:numPr>
        <w:pStyle w:val="Compact"/>
      </w:pPr>
      <w:r>
        <w:t xml:space="preserve">Adapter le développement avec la préservation des ressources, notamment la ressource en eau, anticiper les enjeux liés au changement climatique, et 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ENEDIS</w:t>
      </w:r>
    </w:p>
    <w:p>
      <w:pPr>
        <w:numPr>
          <w:ilvl w:val="0"/>
          <w:numId w:val="1006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6"/>
        </w:numPr>
        <w:pStyle w:val="Compact"/>
      </w:pPr>
      <w:r>
        <w:t xml:space="preserve">nom : CC Pays d’Apt-Luberon, SIREN : 200040624,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342 214€</w:t>
      </w:r>
    </w:p>
    <w:p>
      <w:pPr>
        <w:pStyle w:val="Corpsdetexte"/>
      </w:pPr>
      <w:r>
        <w:t xml:space="preserve">Montant total en euros des engagements financiers de l’Etat et de ses opérateurs hors plan de relance : 821 587€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2023-04-12T16:27:12Z</dcterms:created>
  <dcterms:modified xsi:type="dcterms:W3CDTF">2023-04-12T16:27:12Z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