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Aygues Ouvèze en Provence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Aygues-Ouvèze en Provence (CCAOP), SIREN : 248400160,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SRCE</w:t>
      </w:r>
    </w:p>
    <w:p>
      <w:pPr>
        <w:numPr>
          <w:ilvl w:val="0"/>
          <w:numId w:val="1002"/>
        </w:numPr>
        <w:pStyle w:val="Compact"/>
      </w:pPr>
      <w:r>
        <w:t xml:space="preserve">Plan de Gestion de la Ressource en Eau (PRGE)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Schéma de Déplacement et de Mobilité Douces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Protection de l’Environnement et 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Qualité de vie des habitants</w:t>
      </w:r>
    </w:p>
    <w:p>
      <w:pPr>
        <w:numPr>
          <w:ilvl w:val="0"/>
          <w:numId w:val="1005"/>
        </w:numPr>
        <w:pStyle w:val="Compact"/>
      </w:pPr>
      <w:r>
        <w:t xml:space="preserve">Accompagnement des entreprises dans leur parcours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Aygues-Ouvèze en Provence (CCAOP), SIREN : 248400160,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Vaucluse</w:t>
      </w:r>
    </w:p>
    <w:p>
      <w:pPr>
        <w:numPr>
          <w:ilvl w:val="0"/>
          <w:numId w:val="1008"/>
        </w:numPr>
        <w:pStyle w:val="Compact"/>
      </w:pPr>
      <w:r>
        <w:t xml:space="preserve">Provence Alpes Côte d’Azur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AURAV</w:t>
      </w:r>
    </w:p>
    <w:p>
      <w:pPr>
        <w:numPr>
          <w:ilvl w:val="0"/>
          <w:numId w:val="1009"/>
        </w:numPr>
        <w:pStyle w:val="Compact"/>
      </w:pPr>
      <w:r>
        <w:t xml:space="preserve">Bureau d’étude Terre d’Urba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15.56M€</w:t>
      </w:r>
    </w:p>
    <w:p>
      <w:pPr>
        <w:pStyle w:val="Corpsdetexte"/>
      </w:pPr>
      <w:r>
        <w:t xml:space="preserve">Montant total en euros des engagements financiers de l’Etat et de ses opérateurs Plan de relance : 1.30M€</w:t>
      </w:r>
    </w:p>
    <w:p>
      <w:pPr>
        <w:pStyle w:val="Corpsdetexte"/>
      </w:pPr>
      <w:r>
        <w:t xml:space="preserve">Montant total en euros des engagements financiers de l’Etat et de ses opérateurs hors plan de relance : 5.26M€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2023-04-12T16:27:36Z</dcterms:created>
  <dcterms:modified xsi:type="dcterms:W3CDTF">2023-04-12T16:27:36Z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