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03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Gâtinais-Val-de-Loing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Gâtinais Val de Loing, SIREN : 200023919, nature : CC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1 - Développement économique-tourisme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2 - Energie-patrimoine (y compris accessibilité)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3 - Environnement-biodiversité</w:t>
      </w:r>
    </w:p>
    <w:p>
      <w:pPr>
        <w:numPr>
          <w:ilvl w:val="0"/>
          <w:numId w:val="1005"/>
        </w:numPr>
        <w:pStyle w:val="Compact"/>
      </w:pPr>
      <w:r>
        <w:t xml:space="preserve">Orientation stratégique 4 - Mobilité</w:t>
      </w:r>
    </w:p>
    <w:p>
      <w:pPr>
        <w:numPr>
          <w:ilvl w:val="0"/>
          <w:numId w:val="1005"/>
        </w:numPr>
        <w:pStyle w:val="Compact"/>
      </w:pPr>
      <w:r>
        <w:t xml:space="preserve">Orientation stratégique 5 - Eau et assainissement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Gâtinais Val de Loing, SIREN : 200023919, nature : CC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Bureau communautaire</w:t>
      </w:r>
    </w:p>
    <w:p>
      <w:pPr>
        <w:numPr>
          <w:ilvl w:val="0"/>
          <w:numId w:val="1008"/>
        </w:numPr>
        <w:pStyle w:val="Compact"/>
      </w:pPr>
      <w:r>
        <w:t xml:space="preserve">Conseil communautaire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Syndicat départemental des Energies de Seine-et-Marne (SDESM)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SNCF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Mutuelle sociale agricole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4.06M€</w:t>
      </w:r>
    </w:p>
    <w:p>
      <w:pPr>
        <w:pStyle w:val="Corpsdetexte"/>
      </w:pPr>
      <w:r>
        <w:t xml:space="preserve">Montant total prévisionnel en euros des actions en dépenses d’investissement : 3.64M€</w:t>
      </w:r>
    </w:p>
    <w:p>
      <w:pPr>
        <w:pStyle w:val="Corpsdetexte"/>
      </w:pPr>
      <w:r>
        <w:t xml:space="preserve">Montant total en euros des engagements financiers des collectivités locales et leurs établissements publics : 1.54M€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2023-04-12T16:30:01Z</dcterms:created>
  <dcterms:modified xsi:type="dcterms:W3CDTF">2023-04-12T16:30:01Z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