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Le syndicat Mixte de l’Avant Pays Savoyard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à la carte de l’Avant-Pays Savoyard (SMAPS), SIREN : 257302182, nature : SMF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Habiter: pour un habitat durable, diversifié et adapté à tous les âges de la vie</w:t>
      </w:r>
    </w:p>
    <w:p>
      <w:pPr>
        <w:numPr>
          <w:ilvl w:val="0"/>
          <w:numId w:val="1005"/>
        </w:numPr>
        <w:pStyle w:val="Compact"/>
      </w:pPr>
      <w:r>
        <w:t xml:space="preserve">1.1 Faciliter le parcours résidentiel en adaptant l’offre de logements aux besoins des habitants</w:t>
      </w:r>
    </w:p>
    <w:p>
      <w:pPr>
        <w:numPr>
          <w:ilvl w:val="0"/>
          <w:numId w:val="1005"/>
        </w:numPr>
        <w:pStyle w:val="Compact"/>
      </w:pPr>
      <w:r>
        <w:t xml:space="preserve">1.2 Favoriser l’efficacité énergétique</w:t>
      </w:r>
    </w:p>
    <w:p>
      <w:pPr>
        <w:numPr>
          <w:ilvl w:val="0"/>
          <w:numId w:val="1005"/>
        </w:numPr>
        <w:pStyle w:val="Compact"/>
      </w:pPr>
      <w:r>
        <w:t xml:space="preserve">1.3 Repenser le bâti à travers la mixité des fonctions</w:t>
      </w:r>
    </w:p>
    <w:p>
      <w:pPr>
        <w:numPr>
          <w:ilvl w:val="0"/>
          <w:numId w:val="1005"/>
        </w:numPr>
        <w:pStyle w:val="Compact"/>
      </w:pPr>
      <w:r>
        <w:t xml:space="preserve">1.4 Réduire la consommation foncière pour l’habitat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S’alimenter: vers une agriculture de qualité ancrée sur son territoire</w:t>
      </w:r>
    </w:p>
    <w:p>
      <w:pPr>
        <w:numPr>
          <w:ilvl w:val="0"/>
          <w:numId w:val="1005"/>
        </w:numPr>
        <w:pStyle w:val="Compact"/>
      </w:pPr>
      <w:r>
        <w:t xml:space="preserve">2.1 Développer les productions locales pour des habitants-consomm’acteurs</w:t>
      </w:r>
    </w:p>
    <w:p>
      <w:pPr>
        <w:numPr>
          <w:ilvl w:val="0"/>
          <w:numId w:val="1005"/>
        </w:numPr>
        <w:pStyle w:val="Compact"/>
      </w:pPr>
      <w:r>
        <w:t xml:space="preserve">2.2 Favoriser de nouvelles pratiques agricoles respectueuses de l’environnement et des ressources (eau) et l’adaptation aux changements climatiques</w:t>
      </w:r>
    </w:p>
    <w:p>
      <w:pPr>
        <w:numPr>
          <w:ilvl w:val="0"/>
          <w:numId w:val="1005"/>
        </w:numPr>
        <w:pStyle w:val="Compact"/>
      </w:pPr>
      <w:r>
        <w:t xml:space="preserve">2.3 Rapprocher producteurs et acteurs locaux pour mieux cohabiter</w:t>
      </w:r>
    </w:p>
    <w:p>
      <w:pPr>
        <w:numPr>
          <w:ilvl w:val="0"/>
          <w:numId w:val="1005"/>
        </w:numPr>
        <w:pStyle w:val="Compact"/>
      </w:pPr>
      <w:r>
        <w:t xml:space="preserve">2.4 Aider la création de réserves foncières et favoriser les installations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Travailler, entreprendre: une dynamique économique et d’emplois renforcée par de nouvelles pratiques</w:t>
      </w:r>
    </w:p>
    <w:p>
      <w:pPr>
        <w:numPr>
          <w:ilvl w:val="0"/>
          <w:numId w:val="1005"/>
        </w:numPr>
        <w:pStyle w:val="Compact"/>
      </w:pPr>
      <w:r>
        <w:t xml:space="preserve">3.1 Renforcer l’attractivité économique du territoire et définir une stratégie globale d’implantation des activités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3.2 Mettre en place une politique foncière et immobilière pour les activités artisanales, agricoles et industrielles</w:t>
      </w:r>
    </w:p>
    <w:p>
      <w:pPr>
        <w:numPr>
          <w:ilvl w:val="0"/>
          <w:numId w:val="1005"/>
        </w:numPr>
        <w:pStyle w:val="Compact"/>
      </w:pPr>
      <w:r>
        <w:t xml:space="preserve">3.3 Accompagner l’économie vers les enjeux de transition, de sobriété énergétique et la digitalisation et favoriser son developpement pour répondre aux nouveaux besoins des clientèles</w:t>
      </w:r>
    </w:p>
    <w:p>
      <w:pPr>
        <w:numPr>
          <w:ilvl w:val="0"/>
          <w:numId w:val="1005"/>
        </w:numPr>
        <w:pStyle w:val="Compact"/>
      </w:pPr>
      <w:r>
        <w:t xml:space="preserve">3.4 Valoriser l’expertise du tissu économique local pour permettre une meilleure connaissance des opportunités sur le territoire et aider les entreprises à recruter</w:t>
      </w:r>
    </w:p>
    <w:p>
      <w:pPr>
        <w:numPr>
          <w:ilvl w:val="0"/>
          <w:numId w:val="1005"/>
        </w:numPr>
        <w:pStyle w:val="Compact"/>
      </w:pPr>
      <w:r>
        <w:t xml:space="preserve">3.5 Améliorer l’environnement économique et l’acceuil de (nouveaux salariés)</w:t>
      </w:r>
    </w:p>
    <w:p>
      <w:pPr>
        <w:numPr>
          <w:ilvl w:val="0"/>
          <w:numId w:val="1005"/>
        </w:numPr>
        <w:pStyle w:val="Compact"/>
      </w:pPr>
      <w:r>
        <w:t xml:space="preserve">Orientation stratégique 4: Accueillir: une destination touristique, Le Pays du Lac d’Aiguebelette fondée sur le slow tourisme et l’écotourisme</w:t>
      </w:r>
    </w:p>
    <w:p>
      <w:pPr>
        <w:numPr>
          <w:ilvl w:val="0"/>
          <w:numId w:val="1005"/>
        </w:numPr>
        <w:pStyle w:val="Compact"/>
      </w:pPr>
      <w:r>
        <w:t xml:space="preserve">4.1 Valoriser le territoire et la Destination Pays du Las d’Aiguebelette ainsi que ses composantes, avec une attention sur la basse-saison et ailes de saison</w:t>
      </w:r>
    </w:p>
    <w:p>
      <w:pPr>
        <w:numPr>
          <w:ilvl w:val="0"/>
          <w:numId w:val="1005"/>
        </w:numPr>
        <w:pStyle w:val="Compact"/>
      </w:pPr>
      <w:r>
        <w:t xml:space="preserve">4.2 Pérenniser les activités économiques et la création d’emplois dans le tourisme</w:t>
      </w:r>
    </w:p>
    <w:p>
      <w:pPr>
        <w:numPr>
          <w:ilvl w:val="0"/>
          <w:numId w:val="1005"/>
        </w:numPr>
        <w:pStyle w:val="Compact"/>
      </w:pPr>
      <w:r>
        <w:t xml:space="preserve">4.3 Faciliter la montée en compétences des acteurs du tourisme</w:t>
      </w:r>
    </w:p>
    <w:p>
      <w:pPr>
        <w:numPr>
          <w:ilvl w:val="0"/>
          <w:numId w:val="1005"/>
        </w:numPr>
        <w:pStyle w:val="Compact"/>
      </w:pPr>
      <w:r>
        <w:t xml:space="preserve">4.4 Développer des outils pour gérer la sur-fréquentation de certains sites</w:t>
      </w:r>
    </w:p>
    <w:p>
      <w:pPr>
        <w:numPr>
          <w:ilvl w:val="0"/>
          <w:numId w:val="1005"/>
        </w:numPr>
        <w:pStyle w:val="Compact"/>
      </w:pPr>
      <w:r>
        <w:t xml:space="preserve">4.5 Concrétiser le contrat Ambition Tourisme avec la Région et le Département</w:t>
      </w:r>
    </w:p>
    <w:p>
      <w:pPr>
        <w:numPr>
          <w:ilvl w:val="0"/>
          <w:numId w:val="1005"/>
        </w:numPr>
        <w:pStyle w:val="Compact"/>
      </w:pPr>
      <w:r>
        <w:t xml:space="preserve">Orientation sstratégique 5: S’épanouir et s’accomplir: pour une offre de services et d’équipements adaptée et dimensionnée aux besoins des habitants</w:t>
      </w:r>
    </w:p>
    <w:p>
      <w:pPr>
        <w:numPr>
          <w:ilvl w:val="0"/>
          <w:numId w:val="1005"/>
        </w:numPr>
        <w:pStyle w:val="Compact"/>
      </w:pPr>
      <w:r>
        <w:t xml:space="preserve">5.1 Développer des lieux de services mutualisés de types Msap/ France Services pour orienter et accompagner les usagers dans leurs démarches</w:t>
      </w:r>
    </w:p>
    <w:p>
      <w:pPr>
        <w:numPr>
          <w:ilvl w:val="0"/>
          <w:numId w:val="1005"/>
        </w:numPr>
        <w:pStyle w:val="Compact"/>
      </w:pPr>
      <w:r>
        <w:t xml:space="preserve">5.2 Assurer le maillage des équipements et services au public (l’interconnaissance et la mise en réseau des differents acteurs sociaux et médico-sociaux)</w:t>
      </w:r>
    </w:p>
    <w:p>
      <w:pPr>
        <w:numPr>
          <w:ilvl w:val="0"/>
          <w:numId w:val="1005"/>
        </w:numPr>
        <w:pStyle w:val="Compact"/>
      </w:pPr>
      <w:r>
        <w:t xml:space="preserve">5.3 Maintenir et renforcer l’offre de santé sur le territoire</w:t>
      </w:r>
    </w:p>
    <w:p>
      <w:pPr>
        <w:numPr>
          <w:ilvl w:val="0"/>
          <w:numId w:val="1005"/>
        </w:numPr>
        <w:pStyle w:val="Compact"/>
      </w:pPr>
      <w:r>
        <w:t xml:space="preserve">5.4 Soutenir la vie associative locale et le lien social</w:t>
      </w:r>
    </w:p>
    <w:p>
      <w:pPr>
        <w:numPr>
          <w:ilvl w:val="0"/>
          <w:numId w:val="1005"/>
        </w:numPr>
        <w:pStyle w:val="Compact"/>
      </w:pPr>
      <w:r>
        <w:t xml:space="preserve">5.5 Continuer à déployer l’offre d’accueil pour la petite enfance et accompagner la parentalité</w:t>
      </w:r>
    </w:p>
    <w:p>
      <w:pPr>
        <w:numPr>
          <w:ilvl w:val="0"/>
          <w:numId w:val="1005"/>
        </w:numPr>
        <w:pStyle w:val="Compact"/>
      </w:pPr>
      <w:r>
        <w:t xml:space="preserve">5.6 Mieux impliquer et intégrer les jeunes dans la vie locale, et notamment les 18-25 ans</w:t>
      </w:r>
    </w:p>
    <w:p>
      <w:pPr>
        <w:numPr>
          <w:ilvl w:val="0"/>
          <w:numId w:val="1005"/>
        </w:numPr>
        <w:pStyle w:val="Compact"/>
      </w:pPr>
      <w:r>
        <w:t xml:space="preserve">5.7 Offrir des lieux de vie, des logements, des solutions de mobilité, correspondant aux besoins et attentes des personnes âgées</w:t>
      </w:r>
    </w:p>
    <w:p>
      <w:pPr>
        <w:numPr>
          <w:ilvl w:val="0"/>
          <w:numId w:val="1005"/>
        </w:numPr>
        <w:pStyle w:val="Compact"/>
      </w:pPr>
      <w:r>
        <w:t xml:space="preserve">5.8 Adapter l’offre d’équipements sportifs aux usages et pratiques du territoire</w:t>
      </w:r>
    </w:p>
    <w:p>
      <w:pPr>
        <w:numPr>
          <w:ilvl w:val="0"/>
          <w:numId w:val="1005"/>
        </w:numPr>
        <w:pStyle w:val="Compact"/>
      </w:pPr>
      <w:r>
        <w:t xml:space="preserve">5.9 Encourager la pratique artistique et culturelle</w:t>
      </w:r>
    </w:p>
    <w:p>
      <w:pPr>
        <w:numPr>
          <w:ilvl w:val="0"/>
          <w:numId w:val="1005"/>
        </w:numPr>
        <w:pStyle w:val="Compact"/>
      </w:pPr>
      <w:r>
        <w:t xml:space="preserve">5.10 Favoriser l’accès de la population à des services et équipements culturels de qualité</w:t>
      </w:r>
    </w:p>
    <w:p>
      <w:pPr>
        <w:numPr>
          <w:ilvl w:val="0"/>
          <w:numId w:val="1005"/>
        </w:numPr>
        <w:pStyle w:val="Compact"/>
      </w:pPr>
      <w:r>
        <w:t xml:space="preserve">5.11 Consolider une politique de lecture publique</w:t>
      </w:r>
    </w:p>
    <w:p>
      <w:pPr>
        <w:numPr>
          <w:ilvl w:val="0"/>
          <w:numId w:val="1005"/>
        </w:numPr>
        <w:pStyle w:val="Compact"/>
      </w:pPr>
      <w:r>
        <w:t xml:space="preserve">5.12 Poursuivre la professionnalisation et la structuration des acteurs culturels</w:t>
      </w:r>
    </w:p>
    <w:p>
      <w:pPr>
        <w:numPr>
          <w:ilvl w:val="0"/>
          <w:numId w:val="1005"/>
        </w:numPr>
        <w:pStyle w:val="Compact"/>
      </w:pPr>
      <w:r>
        <w:t xml:space="preserve">Orientation stratégique 6: Vivre avec son environnement et le préserver: engager le territoire dans sa transition écologique</w:t>
      </w:r>
    </w:p>
    <w:p>
      <w:pPr>
        <w:numPr>
          <w:ilvl w:val="0"/>
          <w:numId w:val="1005"/>
        </w:numPr>
        <w:pStyle w:val="Compact"/>
      </w:pPr>
      <w:r>
        <w:t xml:space="preserve">6.1 Réduire les consommations énergétiques du territoire</w:t>
      </w:r>
    </w:p>
    <w:p>
      <w:pPr>
        <w:numPr>
          <w:ilvl w:val="0"/>
          <w:numId w:val="1005"/>
        </w:numPr>
        <w:pStyle w:val="Compact"/>
      </w:pPr>
      <w:r>
        <w:t xml:space="preserve">6.2 Développer la production locale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6.3 Maîtriser l’usage des sols</w:t>
      </w:r>
    </w:p>
    <w:p>
      <w:pPr>
        <w:numPr>
          <w:ilvl w:val="0"/>
          <w:numId w:val="1005"/>
        </w:numPr>
        <w:pStyle w:val="Compact"/>
      </w:pPr>
      <w:r>
        <w:t xml:space="preserve">6.4 Préserver les écosystèmes vulnérables</w:t>
      </w:r>
    </w:p>
    <w:p>
      <w:pPr>
        <w:numPr>
          <w:ilvl w:val="0"/>
          <w:numId w:val="1005"/>
        </w:numPr>
        <w:pStyle w:val="Compact"/>
      </w:pPr>
      <w:r>
        <w:t xml:space="preserve">6.5 Préserver la disponibilité et la qualité de la ressource en eau</w:t>
      </w:r>
    </w:p>
    <w:p>
      <w:pPr>
        <w:numPr>
          <w:ilvl w:val="0"/>
          <w:numId w:val="1005"/>
        </w:numPr>
        <w:pStyle w:val="Compact"/>
      </w:pPr>
      <w:r>
        <w:t xml:space="preserve">6.6 Organiser la filière bois</w:t>
      </w:r>
    </w:p>
    <w:p>
      <w:pPr>
        <w:numPr>
          <w:ilvl w:val="0"/>
          <w:numId w:val="1005"/>
        </w:numPr>
        <w:pStyle w:val="Compact"/>
      </w:pPr>
      <w:r>
        <w:t xml:space="preserve">6.7 Harmoniser et améliorer la gestion des déchets</w:t>
      </w:r>
    </w:p>
    <w:p>
      <w:pPr>
        <w:numPr>
          <w:ilvl w:val="0"/>
          <w:numId w:val="1005"/>
        </w:numPr>
        <w:pStyle w:val="Compact"/>
      </w:pPr>
      <w:r>
        <w:t xml:space="preserve">6.8 Préserver et préparer le territoire face au changement climatique</w:t>
      </w:r>
    </w:p>
    <w:p>
      <w:pPr>
        <w:numPr>
          <w:ilvl w:val="0"/>
          <w:numId w:val="1005"/>
        </w:numPr>
        <w:pStyle w:val="Compact"/>
      </w:pPr>
      <w:r>
        <w:t xml:space="preserve">6.9 Mobiliser les acteurs et les habitants autour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stratégique 7 Se déplacer… ou pas: pour des mobilités et une transition numérique qui profitent à tous</w:t>
      </w:r>
    </w:p>
    <w:p>
      <w:pPr>
        <w:numPr>
          <w:ilvl w:val="0"/>
          <w:numId w:val="1005"/>
        </w:numPr>
        <w:pStyle w:val="Compact"/>
      </w:pPr>
      <w:r>
        <w:t xml:space="preserve">7.1 Organiser avec la Région un renforcement de la desserte de transports en commun et la promouvoir</w:t>
      </w:r>
    </w:p>
    <w:p>
      <w:pPr>
        <w:numPr>
          <w:ilvl w:val="0"/>
          <w:numId w:val="1005"/>
        </w:numPr>
        <w:pStyle w:val="Compact"/>
      </w:pPr>
      <w:r>
        <w:t xml:space="preserve">7.2 Apporter à tous et partout des solutions alternatives à l’usage individuel de la voiture</w:t>
      </w:r>
    </w:p>
    <w:p>
      <w:pPr>
        <w:numPr>
          <w:ilvl w:val="0"/>
          <w:numId w:val="1005"/>
        </w:numPr>
        <w:pStyle w:val="Compact"/>
      </w:pPr>
      <w:r>
        <w:t xml:space="preserve">7.3 Faciliter les déplacements doux entre les villages et les bourgs principaux</w:t>
      </w:r>
    </w:p>
    <w:p>
      <w:pPr>
        <w:numPr>
          <w:ilvl w:val="0"/>
          <w:numId w:val="1005"/>
        </w:numPr>
        <w:pStyle w:val="Compact"/>
      </w:pPr>
      <w:r>
        <w:t xml:space="preserve">7.4 Réduire les problématiques liées aux déplacements pendulaires notamment vers Chambéry</w:t>
      </w:r>
    </w:p>
    <w:p>
      <w:pPr>
        <w:numPr>
          <w:ilvl w:val="0"/>
          <w:numId w:val="1005"/>
        </w:numPr>
        <w:pStyle w:val="Compact"/>
      </w:pPr>
      <w:r>
        <w:t xml:space="preserve">7.5 Réflechir au développement et à la cohérence de la mobilité électrique et hydrogène</w:t>
      </w:r>
    </w:p>
    <w:p>
      <w:pPr>
        <w:numPr>
          <w:ilvl w:val="0"/>
          <w:numId w:val="1005"/>
        </w:numPr>
        <w:pStyle w:val="Compact"/>
      </w:pPr>
      <w:r>
        <w:t xml:space="preserve">7.6 Améliorer la couverture numérique du territoire</w:t>
      </w:r>
    </w:p>
    <w:p>
      <w:pPr>
        <w:numPr>
          <w:ilvl w:val="0"/>
          <w:numId w:val="1005"/>
        </w:numPr>
        <w:pStyle w:val="Compact"/>
      </w:pPr>
      <w:r>
        <w:t xml:space="preserve">7.7 Accompagner/ former les usagers au numérique et construire des parcours d’inclusion numérique adaptés à tous: individuel et collectif</w:t>
      </w:r>
    </w:p>
    <w:p>
      <w:pPr>
        <w:numPr>
          <w:ilvl w:val="0"/>
          <w:numId w:val="1005"/>
        </w:numPr>
        <w:pStyle w:val="Compact"/>
      </w:pPr>
      <w:r>
        <w:t xml:space="preserve">7.8 Développer des espaces de médiation numérique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la Savoie</w:t>
      </w:r>
    </w:p>
    <w:p>
      <w:pPr>
        <w:numPr>
          <w:ilvl w:val="0"/>
          <w:numId w:val="1007"/>
        </w:numPr>
        <w:pStyle w:val="Compact"/>
      </w:pPr>
      <w:r>
        <w:t xml:space="preserve">nom : SM à la carte de l’Avant-Pays Savoyard (SMAPS), SIREN : 257302182, nature : SMF</w:t>
      </w:r>
    </w:p>
    <w:p>
      <w:pPr>
        <w:numPr>
          <w:ilvl w:val="0"/>
          <w:numId w:val="1007"/>
        </w:numPr>
        <w:pStyle w:val="Compact"/>
      </w:pPr>
      <w:r>
        <w:t xml:space="preserve">nom : CC du Lac d’Aiguebelette (CCLA), SIREN : 247300668, nature : CC</w:t>
      </w:r>
    </w:p>
    <w:p>
      <w:pPr>
        <w:numPr>
          <w:ilvl w:val="0"/>
          <w:numId w:val="1007"/>
        </w:numPr>
        <w:pStyle w:val="Compact"/>
      </w:pPr>
      <w:r>
        <w:t xml:space="preserve">nom : CC Val Guiers, SIREN : 247300528, nature : CC</w:t>
      </w:r>
    </w:p>
    <w:p>
      <w:pPr>
        <w:numPr>
          <w:ilvl w:val="0"/>
          <w:numId w:val="1007"/>
        </w:numPr>
        <w:pStyle w:val="Compact"/>
      </w:pPr>
      <w:r>
        <w:t xml:space="preserve">nom : CC de Yenne, SIREN : 247300262,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Savoie</w:t>
      </w:r>
    </w:p>
    <w:p>
      <w:pPr>
        <w:numPr>
          <w:ilvl w:val="0"/>
          <w:numId w:val="1009"/>
        </w:numPr>
        <w:pStyle w:val="Compact"/>
      </w:pPr>
      <w:r>
        <w:t xml:space="preserve">Auvergne-Rhône-Alpes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AGATE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13.64M€</w:t>
      </w:r>
    </w:p>
    <w:p>
      <w:pPr>
        <w:pStyle w:val="Corpsdetexte"/>
      </w:pPr>
      <w:r>
        <w:t xml:space="preserve">Montant total prévisionnel en euros des actions en dépenses d’investissement : 7.86M€</w:t>
      </w:r>
    </w:p>
    <w:p>
      <w:pPr>
        <w:pStyle w:val="Corpsdetexte"/>
      </w:pPr>
      <w:r>
        <w:t xml:space="preserve">Montant total en euros des engagements financiers des collectivités locales et leurs établissements publics : 975 834€</w:t>
      </w:r>
    </w:p>
    <w:p>
      <w:pPr>
        <w:pStyle w:val="Corpsdetexte"/>
      </w:pPr>
      <w:r>
        <w:t xml:space="preserve">Montant total en euros des engagements financiers de l’Etat et de ses opérateurs Plan de relance : 4.27M€</w:t>
      </w:r>
    </w:p>
    <w:p>
      <w:pPr>
        <w:pStyle w:val="Corpsdetexte"/>
      </w:pPr>
      <w:r>
        <w:t xml:space="preserve">Montant total en euros des engagements financiers de l’Etat et de ses opérateurs hors plan de relance : 3.58M€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2023-04-12T16:29:40Z</dcterms:created>
  <dcterms:modified xsi:type="dcterms:W3CDTF">2023-04-12T16:29:40Z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