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Mâconnais Beaujolais Agglomération ET Communauté de communes Mâconnais Tournugeois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Mâconnais Beaujolais Agglomération, SIREN : 200070308, nature : CA</w:t>
      </w:r>
    </w:p>
    <w:p>
      <w:pPr>
        <w:numPr>
          <w:ilvl w:val="0"/>
          <w:numId w:val="1001"/>
        </w:numPr>
        <w:pStyle w:val="Compact"/>
      </w:pPr>
      <w:r>
        <w:t xml:space="preserve">nom : CC Mâconnais - Tournugeois, SIREN : 200069698,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service public pour l’emploi local</w:t>
      </w:r>
    </w:p>
    <w:p>
      <w:pPr>
        <w:numPr>
          <w:ilvl w:val="0"/>
          <w:numId w:val="1002"/>
        </w:numPr>
        <w:pStyle w:val="Compact"/>
      </w:pPr>
      <w:r>
        <w:t xml:space="preserve">Programme</w:t>
      </w:r>
      <w:r>
        <w:t xml:space="preserve"> </w:t>
      </w:r>
      <w:r>
        <w:t xml:space="preserve">“</w:t>
      </w:r>
      <w:r>
        <w:t xml:space="preserve">Habiter mieux sérénité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Service public efficacité énergétique</w:t>
      </w:r>
    </w:p>
    <w:p>
      <w:pPr>
        <w:numPr>
          <w:ilvl w:val="0"/>
          <w:numId w:val="1002"/>
        </w:numPr>
        <w:pStyle w:val="Compact"/>
      </w:pPr>
      <w:r>
        <w:t xml:space="preserve">GEMAPI</w:t>
      </w:r>
    </w:p>
    <w:p>
      <w:pPr>
        <w:numPr>
          <w:ilvl w:val="0"/>
          <w:numId w:val="1002"/>
        </w:numPr>
        <w:pStyle w:val="Compact"/>
      </w:pPr>
      <w:r>
        <w:t xml:space="preserve">Label Grand Site de France Roches de Solutré-Pouilly-Vergisson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SDECA</w:t>
      </w:r>
    </w:p>
    <w:p>
      <w:pPr>
        <w:numPr>
          <w:ilvl w:val="0"/>
          <w:numId w:val="1003"/>
        </w:numPr>
        <w:pStyle w:val="Compact"/>
      </w:pPr>
      <w:r>
        <w:t xml:space="preserve">Schéma Mobilités</w:t>
      </w:r>
    </w:p>
    <w:p>
      <w:pPr>
        <w:numPr>
          <w:ilvl w:val="0"/>
          <w:numId w:val="1003"/>
        </w:numPr>
        <w:pStyle w:val="Compact"/>
      </w:pPr>
      <w:r>
        <w:t xml:space="preserve">Schéma de développement touristique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axes - 12 orientations stratégiques</w:t>
      </w:r>
    </w:p>
    <w:p>
      <w:pPr>
        <w:numPr>
          <w:ilvl w:val="0"/>
          <w:numId w:val="1005"/>
        </w:numPr>
        <w:pStyle w:val="Compact"/>
      </w:pPr>
      <w:r>
        <w:t xml:space="preserve">Axe 1 : Préserver et valoriser un cadre bâti, paysager et environnemental remarquable dans un objectif de transition écologique</w:t>
      </w:r>
    </w:p>
    <w:p>
      <w:pPr>
        <w:numPr>
          <w:ilvl w:val="0"/>
          <w:numId w:val="1005"/>
        </w:numPr>
        <w:pStyle w:val="Compact"/>
      </w:pPr>
      <w:r>
        <w:t xml:space="preserve">O1 : Préserver les ressources naturelles du territoire</w:t>
      </w:r>
    </w:p>
    <w:p>
      <w:pPr>
        <w:numPr>
          <w:ilvl w:val="0"/>
          <w:numId w:val="1005"/>
        </w:numPr>
        <w:pStyle w:val="Compact"/>
      </w:pPr>
      <w:r>
        <w:t xml:space="preserve">O2 : Mixer sur la qualité architecturale et urbaine pour garantir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O3 : Faire du tourisme un vecteur de développement territorial</w:t>
      </w:r>
    </w:p>
    <w:p>
      <w:pPr>
        <w:numPr>
          <w:ilvl w:val="0"/>
          <w:numId w:val="1005"/>
        </w:numPr>
        <w:pStyle w:val="Compact"/>
      </w:pPr>
      <w:r>
        <w:t xml:space="preserve">O4 : Améliorer les interconnexions et l’accès aux pôles d’équipements et d’emplois en favorisant l’intermodalité et les déplacements doux</w:t>
      </w:r>
    </w:p>
    <w:p>
      <w:pPr>
        <w:numPr>
          <w:ilvl w:val="0"/>
          <w:numId w:val="1005"/>
        </w:numPr>
        <w:pStyle w:val="Compact"/>
      </w:pPr>
      <w:r>
        <w:t xml:space="preserve">O5 : Réduire la production de déchets à la source et valoriser les déchets ménagers et assimilés</w:t>
      </w:r>
    </w:p>
    <w:p>
      <w:pPr>
        <w:numPr>
          <w:ilvl w:val="0"/>
          <w:numId w:val="1005"/>
        </w:numPr>
        <w:pStyle w:val="Compact"/>
      </w:pPr>
      <w:r>
        <w:t xml:space="preserve">O6 : Poursuivre l’effort de réduction de la consommation énergétique</w:t>
      </w:r>
    </w:p>
    <w:p>
      <w:pPr>
        <w:numPr>
          <w:ilvl w:val="0"/>
          <w:numId w:val="1005"/>
        </w:numPr>
        <w:pStyle w:val="Compact"/>
      </w:pPr>
      <w:r>
        <w:t xml:space="preserve">Axe 2 : Conforter la cohésion territoriale et l’armature urbaine pour organiser le maintien et l’accueil des populations</w:t>
      </w:r>
    </w:p>
    <w:p>
      <w:pPr>
        <w:numPr>
          <w:ilvl w:val="0"/>
          <w:numId w:val="1005"/>
        </w:numPr>
        <w:pStyle w:val="Compact"/>
      </w:pPr>
      <w:r>
        <w:t xml:space="preserve">O7 : Renforcer l’attractivité des centralités/centres-bourgs en confortant et développant les équipements et services</w:t>
      </w:r>
    </w:p>
    <w:p>
      <w:pPr>
        <w:numPr>
          <w:ilvl w:val="0"/>
          <w:numId w:val="1005"/>
        </w:numPr>
        <w:pStyle w:val="Compact"/>
      </w:pPr>
      <w:r>
        <w:t xml:space="preserve">O8 : Mener une politique d’habitat attractive, solidaire et sobre en énergie</w:t>
      </w:r>
    </w:p>
    <w:p>
      <w:pPr>
        <w:numPr>
          <w:ilvl w:val="0"/>
          <w:numId w:val="1005"/>
        </w:numPr>
        <w:pStyle w:val="Compact"/>
      </w:pPr>
      <w:r>
        <w:t xml:space="preserve">O9 : Tendre vers un territoire intelligent et durable</w:t>
      </w:r>
    </w:p>
    <w:p>
      <w:pPr>
        <w:numPr>
          <w:ilvl w:val="0"/>
          <w:numId w:val="1005"/>
        </w:numPr>
        <w:pStyle w:val="Compact"/>
      </w:pPr>
      <w:r>
        <w:t xml:space="preserve">O10 : Développer les coopérations et solidarités territoriales et accompagner les initiatives du territoires</w:t>
      </w:r>
    </w:p>
    <w:p>
      <w:pPr>
        <w:numPr>
          <w:ilvl w:val="0"/>
          <w:numId w:val="1005"/>
        </w:numPr>
        <w:pStyle w:val="Compact"/>
      </w:pPr>
      <w:r>
        <w:t xml:space="preserve">Axe 3 : Faciliter et promouvoir la création d’activités et de richesses</w:t>
      </w:r>
    </w:p>
    <w:p>
      <w:pPr>
        <w:numPr>
          <w:ilvl w:val="0"/>
          <w:numId w:val="1005"/>
        </w:numPr>
        <w:pStyle w:val="Compact"/>
      </w:pPr>
      <w:r>
        <w:t xml:space="preserve">O11 : Accompagner la relance et conforter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O12 : Garantir une diversité commerciale attractive et une alimentation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CA Maconnais Beaujolais Agglomeration</w:t>
      </w:r>
    </w:p>
    <w:p>
      <w:pPr>
        <w:numPr>
          <w:ilvl w:val="0"/>
          <w:numId w:val="1007"/>
        </w:numPr>
        <w:pStyle w:val="Compact"/>
      </w:pPr>
      <w:r>
        <w:t xml:space="preserve">nom : CC Mâconnais - Tournugeois, SIREN : 200069698, nature : CC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PETR Mâconnais Sud Bourgogne, SIREN : 200076214, nature : PETR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PETR Mâconnais Sud Bourgogne</w:t>
      </w:r>
    </w:p>
    <w:p>
      <w:pPr>
        <w:numPr>
          <w:ilvl w:val="0"/>
          <w:numId w:val="1009"/>
        </w:numPr>
        <w:pStyle w:val="Compact"/>
      </w:pPr>
      <w:r>
        <w:t xml:space="preserve">3 chambres consulaires</w:t>
      </w:r>
    </w:p>
    <w:p>
      <w:pPr>
        <w:numPr>
          <w:ilvl w:val="0"/>
          <w:numId w:val="1009"/>
        </w:numPr>
        <w:pStyle w:val="Compact"/>
      </w:pPr>
      <w:r>
        <w:t xml:space="preserve">Conseil de développement</w:t>
      </w:r>
    </w:p>
    <w:p>
      <w:pPr>
        <w:numPr>
          <w:ilvl w:val="0"/>
          <w:numId w:val="1009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2023-04-12T16:34:05Z</dcterms:created>
  <dcterms:modified xsi:type="dcterms:W3CDTF">2023-04-12T16:34:05Z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