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Beaujolais Pierres Dorées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Beaujolais Pierres Dorées, SIREN : 200040574,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schéma de développement de la petite enfance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Prendre en compte la croissance de la population pour maintenir à ses habitants un niveau de service et préserver le</w:t>
      </w:r>
      <w:r>
        <w:t xml:space="preserve"> </w:t>
      </w:r>
      <w:r>
        <w:t xml:space="preserve">“</w:t>
      </w:r>
      <w:r>
        <w:t xml:space="preserve">bien vivre</w:t>
      </w:r>
      <w:r>
        <w:t xml:space="preserve">”</w:t>
      </w:r>
      <w:r>
        <w:t xml:space="preserve"> </w:t>
      </w:r>
      <w:r>
        <w:t xml:space="preserve">en Beaujolais Pierres Dorées-Accompagner tous les âges de la vie</w:t>
      </w:r>
    </w:p>
    <w:p>
      <w:pPr>
        <w:numPr>
          <w:ilvl w:val="0"/>
          <w:numId w:val="1004"/>
        </w:numPr>
        <w:pStyle w:val="Compact"/>
      </w:pPr>
      <w:r>
        <w:t xml:space="preserve">S’engager résolument dans la transition écologique en traitant les éléments endogènes mais aussi par une action forte sur les éléments exogènes</w:t>
      </w:r>
    </w:p>
    <w:p>
      <w:pPr>
        <w:numPr>
          <w:ilvl w:val="0"/>
          <w:numId w:val="1004"/>
        </w:numPr>
        <w:pStyle w:val="Compact"/>
      </w:pPr>
      <w:r>
        <w:t xml:space="preserve">Passer d’un tourisme d’étape à un tourisme de séjour par la création de trois pôles structurants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336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Dépots</w:t>
      </w:r>
    </w:p>
    <w:p>
      <w:pPr>
        <w:numPr>
          <w:ilvl w:val="0"/>
          <w:numId w:val="1005"/>
        </w:numPr>
        <w:pStyle w:val="Compact"/>
      </w:pPr>
      <w:r>
        <w:t xml:space="preserve">nom : CC Beaujolais Pierres Dorées, SIREN : 200040574,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numPr>
          <w:ilvl w:val="0"/>
          <w:numId w:val="1007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70.71M€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2023-04-12T16:30:15Z</dcterms:created>
  <dcterms:modified xsi:type="dcterms:W3CDTF">2023-04-12T16:30:15Z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