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anais.rinnert@haut-rhin.gouv.fr</w:t>
      </w:r>
    </w:p>
    <w:p>
      <w:pPr>
        <w:pStyle w:val="Corpsdetexte"/>
      </w:pPr>
      <w:r>
        <w:t xml:space="preserve">Date de signature du CRTE : 23 novembre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Saint-Louis Agglomération</w:t>
      </w:r>
    </w:p>
    <w:p>
      <w:pPr>
        <w:pStyle w:val="Corpsdetexte"/>
      </w:pPr>
      <w:r>
        <w:t xml:space="preserve">Si protocole de préfiguration : date de signature : 2021-06-24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Saint-Louis Agglomération, SIREN : 200066058, nature : CA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communauté europénne d’alsace</w:t>
      </w:r>
    </w:p>
    <w:p>
      <w:pPr>
        <w:numPr>
          <w:ilvl w:val="0"/>
          <w:numId w:val="1001"/>
        </w:numPr>
        <w:pStyle w:val="Compact"/>
      </w:pPr>
      <w:r>
        <w:t xml:space="preserve">nom : Haut-Rhin, SIREN : 68,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PCAET</w:t>
      </w:r>
    </w:p>
    <w:p>
      <w:pPr>
        <w:numPr>
          <w:ilvl w:val="0"/>
          <w:numId w:val="1003"/>
        </w:numPr>
        <w:pStyle w:val="Compact"/>
      </w:pPr>
      <w:r>
        <w:t xml:space="preserve">Cit’ergie</w:t>
      </w:r>
    </w:p>
    <w:p>
      <w:pPr>
        <w:numPr>
          <w:ilvl w:val="0"/>
          <w:numId w:val="1003"/>
        </w:numPr>
        <w:pStyle w:val="Compact"/>
      </w:pPr>
      <w:r>
        <w:t xml:space="preserve">TEPCV</w:t>
      </w:r>
    </w:p>
    <w:p>
      <w:pPr>
        <w:numPr>
          <w:ilvl w:val="0"/>
          <w:numId w:val="1003"/>
        </w:numPr>
        <w:pStyle w:val="Compact"/>
      </w:pPr>
      <w:r>
        <w:t xml:space="preserve">Pacte ville moyenne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plus fluide aux mobilités soutenables</w:t>
      </w:r>
    </w:p>
    <w:p>
      <w:pPr>
        <w:numPr>
          <w:ilvl w:val="0"/>
          <w:numId w:val="1005"/>
        </w:numPr>
        <w:pStyle w:val="Compact"/>
      </w:pPr>
      <w:r>
        <w:t xml:space="preserve">Une ville-monde et des villages : un même territoire attractif à l’heure des transitions</w:t>
      </w:r>
    </w:p>
    <w:p>
      <w:pPr>
        <w:numPr>
          <w:ilvl w:val="0"/>
          <w:numId w:val="1005"/>
        </w:numPr>
        <w:pStyle w:val="Compact"/>
      </w:pPr>
      <w:r>
        <w:t xml:space="preserve">Un territoire de services et de bien-être pour l’épanouissement de tous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Corpsdetexte"/>
      </w:pPr>
      <w:r>
        <w:t xml:space="preserve">Nombre de fiches projet (opération à travailler) : 77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Saint-Louis Agglomération, SIREN : 200066058, nature : CA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Haut-Rhin, SIREN : 68, nature : departement</w:t>
      </w:r>
    </w:p>
    <w:p>
      <w:pPr>
        <w:numPr>
          <w:ilvl w:val="0"/>
          <w:numId w:val="1007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2023-04-12T16:31:54Z</dcterms:created>
  <dcterms:modified xsi:type="dcterms:W3CDTF">2023-04-12T16:31:54Z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