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pref-actions-etat@pyrenees-orientales.gouv.fr</w:t>
      </w:r>
    </w:p>
    <w:p>
      <w:pPr>
        <w:pStyle w:val="Corpsdetexte"/>
      </w:pPr>
      <w:r>
        <w:t xml:space="preserve">Date de signature du CRTE : 23 décembre 2021</w:t>
      </w:r>
    </w:p>
    <w:p>
      <w:pPr>
        <w:pStyle w:val="Corpsdetexte"/>
      </w:pPr>
      <w:r>
        <w:t xml:space="preserve">Nature juridique de la structure porteuse : Communauté urbaine</w:t>
      </w:r>
    </w:p>
    <w:p>
      <w:pPr>
        <w:pStyle w:val="Corpsdetexte"/>
      </w:pPr>
      <w:r>
        <w:t xml:space="preserve">Nom de la structure porteuse : Perpignan Mediterranée Métropole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 : CU Perpignan Méditerranée Métropole, SIREN : 200027183, nature : CU</w:t>
      </w:r>
    </w:p>
    <w:p>
      <w:pPr>
        <w:numPr>
          <w:ilvl w:val="0"/>
          <w:numId w:val="1001"/>
        </w:numPr>
        <w:pStyle w:val="Compact"/>
      </w:pPr>
      <w:r>
        <w:t xml:space="preserve">nom : Pyrénées-Orientales, SIREN : 66, nature : departement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SDDASAP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Plan partenarial d’aménagement</w:t>
      </w:r>
    </w:p>
    <w:p>
      <w:pPr>
        <w:numPr>
          <w:ilvl w:val="0"/>
          <w:numId w:val="1003"/>
        </w:numPr>
        <w:pStyle w:val="Compact"/>
      </w:pPr>
      <w:r>
        <w:t xml:space="preserve">Plan Littoral 21</w:t>
      </w:r>
    </w:p>
    <w:p>
      <w:pPr>
        <w:numPr>
          <w:ilvl w:val="0"/>
          <w:numId w:val="1003"/>
        </w:numPr>
        <w:pStyle w:val="Compact"/>
      </w:pPr>
      <w:r>
        <w:t xml:space="preserve">Contrat Territoire Occitanie</w:t>
      </w:r>
    </w:p>
    <w:p>
      <w:pPr>
        <w:numPr>
          <w:ilvl w:val="0"/>
          <w:numId w:val="1003"/>
        </w:numPr>
        <w:pStyle w:val="Compact"/>
      </w:pPr>
      <w:r>
        <w:t xml:space="preserve">Bourg Centre</w:t>
      </w:r>
    </w:p>
    <w:p>
      <w:pPr>
        <w:numPr>
          <w:ilvl w:val="0"/>
          <w:numId w:val="1003"/>
        </w:numPr>
        <w:pStyle w:val="Compact"/>
      </w:pPr>
      <w:r>
        <w:t xml:space="preserve">Grans Sud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Pilier 1 : CONNECTIVITE ET DESENCLAVEMENT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 : Désenclaver et mailler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1.II : Bâtir de véritables réseaux d’ailliances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1.III : Favoriser le développement de territoires de projets moteurs</w:t>
      </w:r>
    </w:p>
    <w:p>
      <w:pPr>
        <w:numPr>
          <w:ilvl w:val="0"/>
          <w:numId w:val="1005"/>
        </w:numPr>
        <w:pStyle w:val="Compact"/>
      </w:pPr>
      <w:r>
        <w:t xml:space="preserve">Orientation stratégique 1.IV : Renforcer la transformation numérique</w:t>
      </w:r>
    </w:p>
    <w:p>
      <w:pPr>
        <w:numPr>
          <w:ilvl w:val="0"/>
          <w:numId w:val="1005"/>
        </w:numPr>
        <w:pStyle w:val="Compact"/>
      </w:pPr>
      <w:r>
        <w:t xml:space="preserve">Pilier 2 : RELANCE ET DEVELOPPEMENT ECONOMIQUE DE NOTRE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2.V : Soutenir et favoriser une économie créatrice d’emploi tout en maîtrisant le foncier</w:t>
      </w:r>
    </w:p>
    <w:p>
      <w:pPr>
        <w:numPr>
          <w:ilvl w:val="0"/>
          <w:numId w:val="1005"/>
        </w:numPr>
        <w:pStyle w:val="Compact"/>
      </w:pPr>
      <w:r>
        <w:t xml:space="preserve">Orientation stratégique 2.VI : Penser notre territoire comme un grand campus d’excellence</w:t>
      </w:r>
    </w:p>
    <w:p>
      <w:pPr>
        <w:numPr>
          <w:ilvl w:val="0"/>
          <w:numId w:val="1005"/>
        </w:numPr>
        <w:pStyle w:val="Compact"/>
      </w:pPr>
      <w:r>
        <w:t xml:space="preserve">Pilier 3 : TRANSITION ECOLOGIQUE ET ENERGETIQUE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3.VII : Devenir un territoire à énergie positive, à la pointe des ENR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3.VIII : Rester un territoire attractif et devenir un territoire résilient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3.IX : Préserver et valoriser la biodiversité, les richesses patrimoniales, paysagères, naturelles et notre cadre de vie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3.X : Relever les défis de l’économie sociale et solidaire et de l’économie circulaire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3.XI : Préserver et valoriser la ressource agricole et dynamiser sa transition</w:t>
      </w:r>
    </w:p>
    <w:p>
      <w:pPr>
        <w:numPr>
          <w:ilvl w:val="0"/>
          <w:numId w:val="1005"/>
        </w:numPr>
        <w:pStyle w:val="Compact"/>
      </w:pPr>
      <w:r>
        <w:t xml:space="preserve">Pilier 4 : COHESION SOCIALE ET TERRITORIALE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4.XII : Accompagner le développement cohérent et équilibré du territoire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4.XIII : Recalibrer et dynamiser une offre territoriale innovante basée sur la qualité urbaine et nos vitrines territoriales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4.XIV : Révéler et partager nos richesses particulières pour faire rayonner le Roussillon</w:t>
      </w:r>
    </w:p>
    <w:p>
      <w:pPr>
        <w:numPr>
          <w:ilvl w:val="0"/>
          <w:numId w:val="1005"/>
        </w:numPr>
        <w:pStyle w:val="Compact"/>
      </w:pPr>
      <w:r>
        <w:t xml:space="preserve">Orientation stratégique 4.XV : Favoriser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pStyle w:val="FirstParagraph"/>
      </w:pPr>
      <w:r>
        <w:t xml:space="preserve">Nombre de fiches action (opération prête à démarrer) : -</w:t>
      </w:r>
    </w:p>
    <w:p>
      <w:pPr>
        <w:pStyle w:val="Corpsdetexte"/>
      </w:pPr>
      <w:r>
        <w:t xml:space="preserve">Nombre de fiches projet (opération à travailler) : -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des Pyrénées-Orientales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nom : CU Perpignan Méditerranée Métropole, SIREN : 200027183, nature : CU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nom : Pyrénées-Orientales, SIREN : 66,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2.19M€</w:t>
      </w:r>
    </w:p>
    <w:p>
      <w:pPr>
        <w:pStyle w:val="Corpsdetexte"/>
      </w:pPr>
      <w:r>
        <w:t xml:space="preserve">Montant total prévisionnel en euros des actions en dépenses d’investissement : 378.03M€</w:t>
      </w:r>
    </w:p>
    <w:p>
      <w:pPr>
        <w:pStyle w:val="Corpsdetexte"/>
      </w:pPr>
      <w:r>
        <w:t xml:space="preserve">Montant total en euros des engagements financiers des collectivités locales et leurs établissements publics : 18.70M€</w:t>
      </w:r>
    </w:p>
    <w:p>
      <w:pPr>
        <w:pStyle w:val="Corpsdetexte"/>
      </w:pPr>
      <w:r>
        <w:t xml:space="preserve">Montant total en euros des engagements financiers de l’Etat et de ses opérateurs Plan de relance : 6.59M€</w:t>
      </w:r>
    </w:p>
    <w:p>
      <w:pPr>
        <w:pStyle w:val="Corpsdetexte"/>
      </w:pPr>
      <w:r>
        <w:t xml:space="preserve">Montant total en euros des engagements financiers de l’Etat et de ses opérateurs hors plan de relance : 5.48M€</w:t>
      </w:r>
    </w:p>
    <w:p>
      <w:pPr>
        <w:pStyle w:val="Corpsdetexte"/>
      </w:pPr>
      <w:r>
        <w:t xml:space="preserve">Montant total prévisionnel en euros des cofinancements européens : 3.36M€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2023-04-12T16:27:25Z</dcterms:created>
  <dcterms:modified xsi:type="dcterms:W3CDTF">2023-04-12T16:27:25Z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