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muriel.depale@oise.gouv.fr</w:t>
      </w:r>
    </w:p>
    <w:p>
      <w:pPr>
        <w:pStyle w:val="Corpsdetexte"/>
      </w:pPr>
      <w:r>
        <w:t xml:space="preserve">Date de signature du CRTE : 24 février 2022</w:t>
      </w:r>
    </w:p>
    <w:p>
      <w:pPr>
        <w:pStyle w:val="Corpsdetexte"/>
      </w:pPr>
      <w:r>
        <w:t xml:space="preserve">Nature juridique de la structure porteuse : Communauté de communes</w:t>
      </w:r>
    </w:p>
    <w:p>
      <w:pPr>
        <w:pStyle w:val="Corpsdetexte"/>
      </w:pPr>
      <w:r>
        <w:t xml:space="preserve">Nom de la structure porteuse : La Thelloise</w:t>
      </w:r>
    </w:p>
    <w:p>
      <w:pPr>
        <w:pStyle w:val="Corpsdetexte"/>
      </w:pPr>
      <w:r>
        <w:t xml:space="preserve">Si protocole de préfiguration : date de signature : None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CC Thelloise, SIREN : 200067973, nature : CC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PAPI</w:t>
      </w:r>
    </w:p>
    <w:p>
      <w:pPr>
        <w:numPr>
          <w:ilvl w:val="0"/>
          <w:numId w:val="1002"/>
        </w:numPr>
        <w:pStyle w:val="Compact"/>
      </w:pPr>
      <w:r>
        <w:t xml:space="preserve">PGRI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numPr>
          <w:ilvl w:val="0"/>
          <w:numId w:val="1002"/>
        </w:numPr>
        <w:pStyle w:val="Compact"/>
      </w:pPr>
      <w:r>
        <w:t xml:space="preserve">SDAGE</w:t>
      </w:r>
    </w:p>
    <w:p>
      <w:pPr>
        <w:pStyle w:val="FirstParagraph"/>
      </w:pPr>
      <w:r>
        <w:t xml:space="preserve">Liste des contrats figurant dans le CRTE :</w:t>
      </w:r>
    </w:p>
    <w:p>
      <w:pPr>
        <w:pStyle w:val="Corpsdetexte"/>
      </w:pPr>
      <w:r>
        <w:t xml:space="preserve">Liste des programmes de l’ANCT intégrés :</w:t>
      </w:r>
    </w:p>
    <w:p>
      <w:pPr>
        <w:pStyle w:val="Corpsdetexte"/>
      </w:pPr>
      <w:r>
        <w:t xml:space="preserve">Liste des orientations stratégiques, axes, ambitions, volets, objectifs… :</w:t>
      </w:r>
    </w:p>
    <w:p>
      <w:pPr>
        <w:numPr>
          <w:ilvl w:val="0"/>
          <w:numId w:val="1003"/>
        </w:numPr>
        <w:pStyle w:val="Compact"/>
      </w:pPr>
      <w:r>
        <w:t xml:space="preserve">Orientation 1 : Contribuer au développement économique du territoire et soutenir les mutations s’intégrant dans la transition écologique</w:t>
      </w:r>
    </w:p>
    <w:p>
      <w:pPr>
        <w:numPr>
          <w:ilvl w:val="0"/>
          <w:numId w:val="1003"/>
        </w:numPr>
        <w:pStyle w:val="Compact"/>
      </w:pPr>
      <w:r>
        <w:t xml:space="preserve">Orientation 2 : Développer une offre de moyens de déplacements variés pour mieux raccorder et rapprocher</w:t>
      </w:r>
    </w:p>
    <w:p>
      <w:pPr>
        <w:numPr>
          <w:ilvl w:val="0"/>
          <w:numId w:val="1003"/>
        </w:numPr>
        <w:pStyle w:val="Compact"/>
      </w:pPr>
      <w:r>
        <w:t xml:space="preserve">Orientation 3 : Répondre à la pression démographique et accompagner le développement économique du territoire en développant une offre de logements adaptée et en créant de nouveaux services et équipements de proximité, vertueux pour l’environnement</w:t>
      </w:r>
    </w:p>
    <w:p>
      <w:pPr>
        <w:numPr>
          <w:ilvl w:val="0"/>
          <w:numId w:val="1003"/>
        </w:numPr>
        <w:pStyle w:val="Compact"/>
      </w:pPr>
      <w:r>
        <w:t xml:space="preserve">Orientation 4 : Permettre une meilleure visibilité du territoire en valorisant ses richesses naturelles et son patrimoine culturel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NC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4"/>
        </w:numPr>
        <w:pStyle w:val="Compact"/>
      </w:pPr>
      <w:r>
        <w:t xml:space="preserve">Mobilités douces</w:t>
      </w:r>
    </w:p>
    <w:p>
      <w:pPr>
        <w:numPr>
          <w:ilvl w:val="0"/>
          <w:numId w:val="1004"/>
        </w:numPr>
        <w:pStyle w:val="Compact"/>
      </w:pPr>
      <w:r>
        <w:t xml:space="preserve">Véhicules électriques, hybrides, GNV, bornes de recharge…</w:t>
      </w:r>
    </w:p>
    <w:p>
      <w:pPr>
        <w:numPr>
          <w:ilvl w:val="0"/>
          <w:numId w:val="1004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4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4"/>
        </w:numPr>
        <w:pStyle w:val="Compact"/>
      </w:pPr>
      <w:r>
        <w:t xml:space="preserve">Efficacité énergétique</w:t>
      </w:r>
    </w:p>
    <w:p>
      <w:pPr>
        <w:numPr>
          <w:ilvl w:val="0"/>
          <w:numId w:val="1004"/>
        </w:numPr>
        <w:pStyle w:val="Compact"/>
      </w:pPr>
      <w:r>
        <w:t xml:space="preserve">Accès à un logement de qualité</w:t>
      </w:r>
    </w:p>
    <w:p>
      <w:pPr>
        <w:numPr>
          <w:ilvl w:val="0"/>
          <w:numId w:val="1004"/>
        </w:numPr>
        <w:pStyle w:val="Compact"/>
      </w:pPr>
      <w:r>
        <w:t xml:space="preserve">Sport</w:t>
      </w:r>
    </w:p>
    <w:p>
      <w:pPr>
        <w:numPr>
          <w:ilvl w:val="0"/>
          <w:numId w:val="1004"/>
        </w:numPr>
        <w:pStyle w:val="Compact"/>
      </w:pPr>
      <w:r>
        <w:t xml:space="preserve">Education</w:t>
      </w:r>
    </w:p>
    <w:p>
      <w:pPr>
        <w:numPr>
          <w:ilvl w:val="0"/>
          <w:numId w:val="1004"/>
        </w:numPr>
        <w:pStyle w:val="Compact"/>
      </w:pPr>
      <w:r>
        <w:t xml:space="preserve">Production d’énergies renouvelables</w:t>
      </w:r>
    </w:p>
    <w:p>
      <w:pPr>
        <w:pStyle w:val="FirstParagraph"/>
      </w:pPr>
      <w:r>
        <w:t xml:space="preserve">Nombre de fiches action (opération prête à démarrer) : 34</w:t>
      </w:r>
    </w:p>
    <w:p>
      <w:pPr>
        <w:pStyle w:val="Corpsdetexte"/>
      </w:pPr>
      <w:r>
        <w:t xml:space="preserve">Nombre de fiches projet (opération à travailler) : 13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pStyle w:val="Corpsdetexte"/>
      </w:pPr>
      <w:r>
        <w:t xml:space="preserve">Liste des instances de partenariat mobilisées ou créées :</w:t>
      </w:r>
    </w:p>
    <w:p>
      <w:pPr>
        <w:pStyle w:val="Corpsdetexte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pStyle w:val="Corpsdetexte"/>
      </w:pPr>
      <w:r>
        <w:t xml:space="preserve">Démarches de co-construction du CRTE : -</w:t>
      </w:r>
    </w:p>
    <w:p>
      <w:pPr>
        <w:pStyle w:val="Corpsdetexte"/>
      </w:pPr>
      <w:r>
        <w:t xml:space="preserve">Existence d’un volet de coopération interterritoriale (dont volet transfrontalier) : Non</w:t>
      </w:r>
    </w:p>
    <w:p>
      <w:pPr>
        <w:pStyle w:val="Titre2"/>
      </w:pPr>
      <w:bookmarkStart w:id="25" w:name="Xf583ce9a2f12b372527ffe5c5c594a344f34da9"/>
      <w:r>
        <w:t xml:space="preserve">Domaines d’action publique de la coopération interterritoriale :</w:t>
      </w:r>
      <w:bookmarkEnd w:id="25"/>
    </w:p>
    <w:p>
      <w:pPr>
        <w:pStyle w:val="FirstParagraph"/>
      </w:pPr>
      <w:r>
        <w:t xml:space="preserve">Définition d’indicateurs de suivi des objectifs opérationnels du CRTE : Oui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6" w:name="ingénierie-et-financement"/>
      <w:r>
        <w:t xml:space="preserve">Ingénierie et financement</w:t>
      </w:r>
      <w:bookmarkEnd w:id="26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Oui</w:t>
      </w:r>
    </w:p>
    <w:p>
      <w:pPr>
        <w:pStyle w:val="Corpsdetexte"/>
      </w:pPr>
      <w:r>
        <w:t xml:space="preserve">Mobilisation de l’ingénierie locale : -</w:t>
      </w:r>
    </w:p>
    <w:p>
      <w:pPr>
        <w:pStyle w:val="Corpsdetexte"/>
      </w:pPr>
      <w:r>
        <w:t xml:space="preserve">Mobilisation d’une ingénierie externe :</w:t>
      </w:r>
    </w:p>
    <w:p>
      <w:pPr>
        <w:pStyle w:val="Corpsdetexte"/>
      </w:pPr>
      <w:r>
        <w:t xml:space="preserve">Existence d’une maquette financière annexée (ou d’un état récapitulatif des différents financements) au jour de la signature du contrat : Non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-€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-€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2023-04-12T16:29:01Z</dcterms:created>
  <dcterms:modified xsi:type="dcterms:W3CDTF">2023-04-12T16:29:01Z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