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du Grand Nancy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Métropole du Grand Nancy, SIREN : 245400676, nature : METRO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  <w:r>
        <w:t xml:space="preserve"> </w:t>
      </w:r>
      <w:r>
        <w:t xml:space="preserve">“</w:t>
      </w:r>
      <w:r>
        <w:t xml:space="preserve">Eau et Climat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charte forestière de territoire</w:t>
      </w:r>
    </w:p>
    <w:p>
      <w:pPr>
        <w:numPr>
          <w:ilvl w:val="0"/>
          <w:numId w:val="1003"/>
        </w:numPr>
        <w:pStyle w:val="Compact"/>
      </w:pPr>
      <w:r>
        <w:t xml:space="preserve">territoire d’innovation et de grande ambition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favoriser un développement économique durable</w:t>
      </w:r>
    </w:p>
    <w:p>
      <w:pPr>
        <w:numPr>
          <w:ilvl w:val="0"/>
          <w:numId w:val="1004"/>
        </w:numPr>
        <w:pStyle w:val="Compact"/>
      </w:pPr>
      <w:r>
        <w:t xml:space="preserve">garantir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Métropole du Grand Nancy, SIREN : 245400676, nature : METRO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1.04M€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2023-04-12T16:32:36Z</dcterms:created>
  <dcterms:modified xsi:type="dcterms:W3CDTF">2023-04-12T16:32:36Z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