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nicolas.kieffer@marne.gouv.fr</w:t>
      </w:r>
    </w:p>
    <w:p>
      <w:pPr>
        <w:pStyle w:val="Corpsdetexte"/>
      </w:pPr>
      <w:r>
        <w:t xml:space="preserve">Date de signature du CRTE : 06 janvier 2022</w:t>
      </w:r>
    </w:p>
    <w:p>
      <w:pPr>
        <w:pStyle w:val="Corpsdetexte"/>
      </w:pPr>
      <w:r>
        <w:t xml:space="preserve">Nature juridique de la structure porteuse : Pôle équilibre territorial et rural</w:t>
      </w:r>
    </w:p>
    <w:p>
      <w:pPr>
        <w:pStyle w:val="Corpsdetexte"/>
      </w:pPr>
      <w:r>
        <w:t xml:space="preserve">Nom de la structure porteuse : PETR du Pays de Châlons-en-Champagne</w:t>
      </w:r>
    </w:p>
    <w:p>
      <w:pPr>
        <w:pStyle w:val="Corpsdetexte"/>
      </w:pPr>
      <w:r>
        <w:t xml:space="preserve">Si protocole de préfiguration : date de signature : 2021-07-28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préfet de la Marne</w:t>
      </w:r>
    </w:p>
    <w:p>
      <w:pPr>
        <w:numPr>
          <w:ilvl w:val="0"/>
          <w:numId w:val="1001"/>
        </w:numPr>
        <w:pStyle w:val="Compact"/>
      </w:pPr>
      <w:r>
        <w:t xml:space="preserve">nom : PETR du Pays de Châlons-en-Champagne, SIREN : 200075497, nature : PETR</w:t>
      </w:r>
    </w:p>
    <w:p>
      <w:pPr>
        <w:numPr>
          <w:ilvl w:val="0"/>
          <w:numId w:val="1001"/>
        </w:numPr>
        <w:pStyle w:val="Compact"/>
      </w:pPr>
      <w:r>
        <w:t xml:space="preserve">nom : CA de Châlons-en-Champagne, SIREN : 200066876, nature : CA</w:t>
      </w:r>
    </w:p>
    <w:p>
      <w:pPr>
        <w:numPr>
          <w:ilvl w:val="0"/>
          <w:numId w:val="1001"/>
        </w:numPr>
        <w:pStyle w:val="Compact"/>
      </w:pPr>
      <w:r>
        <w:t xml:space="preserve">nom : CC de la Région de Suippes, SIREN : 200042620, nature : CC</w:t>
      </w:r>
    </w:p>
    <w:p>
      <w:pPr>
        <w:numPr>
          <w:ilvl w:val="0"/>
          <w:numId w:val="1001"/>
        </w:numPr>
        <w:pStyle w:val="Compact"/>
      </w:pPr>
      <w:r>
        <w:t xml:space="preserve">nom : CC de la Moivre à la Coole, SIREN : 200043438, nature : CC</w:t>
      </w:r>
    </w:p>
    <w:p>
      <w:pPr>
        <w:numPr>
          <w:ilvl w:val="0"/>
          <w:numId w:val="1001"/>
        </w:numPr>
        <w:pStyle w:val="Compact"/>
      </w:pPr>
      <w:r>
        <w:t xml:space="preserve">nom : Grand Est, SIREN : 44, nature : region</w:t>
      </w:r>
    </w:p>
    <w:p>
      <w:pPr>
        <w:numPr>
          <w:ilvl w:val="0"/>
          <w:numId w:val="1001"/>
        </w:numPr>
        <w:pStyle w:val="Compact"/>
      </w:pPr>
      <w:r>
        <w:t xml:space="preserve">nom : Marne, SIREN : 51, nature : departement</w:t>
      </w:r>
    </w:p>
    <w:p>
      <w:pPr>
        <w:numPr>
          <w:ilvl w:val="0"/>
          <w:numId w:val="1001"/>
        </w:numPr>
        <w:pStyle w:val="Compact"/>
      </w:pPr>
      <w:r>
        <w:t xml:space="preserve">préfet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CPER</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numPr>
          <w:ilvl w:val="0"/>
          <w:numId w:val="1002"/>
        </w:numPr>
        <w:pStyle w:val="Compact"/>
      </w:pPr>
      <w:r>
        <w:t xml:space="preserve">PAPI</w:t>
      </w:r>
    </w:p>
    <w:p>
      <w:pPr>
        <w:numPr>
          <w:ilvl w:val="0"/>
          <w:numId w:val="1002"/>
        </w:numPr>
        <w:pStyle w:val="Compact"/>
      </w:pPr>
      <w:r>
        <w:t xml:space="preserve">Atlas de la biodiversité</w:t>
      </w:r>
    </w:p>
    <w:p>
      <w:pPr>
        <w:numPr>
          <w:ilvl w:val="0"/>
          <w:numId w:val="1002"/>
        </w:numPr>
        <w:pStyle w:val="Compact"/>
      </w:pPr>
      <w:r>
        <w:t xml:space="preserve">Projet culturel de territoire</w:t>
      </w:r>
    </w:p>
    <w:p>
      <w:pPr>
        <w:numPr>
          <w:ilvl w:val="0"/>
          <w:numId w:val="1002"/>
        </w:numPr>
        <w:pStyle w:val="Compact"/>
      </w:pPr>
      <w:r>
        <w:t xml:space="preserve">plan de valorisation de l’architecture et du patrimoine</w:t>
      </w:r>
    </w:p>
    <w:p>
      <w:pPr>
        <w:numPr>
          <w:ilvl w:val="0"/>
          <w:numId w:val="1002"/>
        </w:numPr>
        <w:pStyle w:val="Compact"/>
      </w:pPr>
      <w:r>
        <w:t xml:space="preserve">Schéma Régional de Développement du tourisme et des loisirs</w:t>
      </w:r>
    </w:p>
    <w:p>
      <w:pPr>
        <w:numPr>
          <w:ilvl w:val="0"/>
          <w:numId w:val="1002"/>
        </w:numPr>
        <w:pStyle w:val="Compact"/>
      </w:pPr>
      <w:r>
        <w:t xml:space="preserve">PRPGD</w:t>
      </w:r>
    </w:p>
    <w:p>
      <w:pPr>
        <w:numPr>
          <w:ilvl w:val="0"/>
          <w:numId w:val="1002"/>
        </w:numPr>
        <w:pStyle w:val="Compact"/>
      </w:pPr>
      <w:r>
        <w:t xml:space="preserve">Schéma Régional de Développement du sport</w:t>
      </w:r>
    </w:p>
    <w:p>
      <w:pPr>
        <w:numPr>
          <w:ilvl w:val="0"/>
          <w:numId w:val="1002"/>
        </w:numPr>
        <w:pStyle w:val="Compact"/>
      </w:pPr>
      <w:r>
        <w:t xml:space="preserve">Feuille de route santé</w:t>
      </w:r>
    </w:p>
    <w:p>
      <w:pPr>
        <w:numPr>
          <w:ilvl w:val="0"/>
          <w:numId w:val="1002"/>
        </w:numPr>
        <w:pStyle w:val="Compact"/>
      </w:pPr>
      <w:r>
        <w:t xml:space="preserve">Stratégie régionale biodiversité</w:t>
      </w:r>
    </w:p>
    <w:p>
      <w:pPr>
        <w:numPr>
          <w:ilvl w:val="0"/>
          <w:numId w:val="1002"/>
        </w:numPr>
        <w:pStyle w:val="Compact"/>
      </w:pPr>
      <w:r>
        <w:t xml:space="preserve">CPRDFOP</w:t>
      </w:r>
    </w:p>
    <w:p>
      <w:pPr>
        <w:numPr>
          <w:ilvl w:val="0"/>
          <w:numId w:val="1002"/>
        </w:numPr>
        <w:pStyle w:val="Compact"/>
      </w:pPr>
      <w:r>
        <w:t xml:space="preserve">Business Act</w:t>
      </w:r>
    </w:p>
    <w:p>
      <w:pPr>
        <w:numPr>
          <w:ilvl w:val="0"/>
          <w:numId w:val="1002"/>
        </w:numPr>
        <w:pStyle w:val="Compact"/>
      </w:pPr>
      <w:r>
        <w:t xml:space="preserve">SRDEII</w:t>
      </w:r>
    </w:p>
    <w:p>
      <w:pPr>
        <w:numPr>
          <w:ilvl w:val="0"/>
          <w:numId w:val="1002"/>
        </w:numPr>
        <w:pStyle w:val="Compact"/>
      </w:pPr>
      <w:r>
        <w:t xml:space="preserve">SRADDET</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Pacte offensive croissance emploi (Région)</w:t>
      </w:r>
    </w:p>
    <w:p>
      <w:pPr>
        <w:numPr>
          <w:ilvl w:val="0"/>
          <w:numId w:val="1003"/>
        </w:numPr>
        <w:pStyle w:val="Compact"/>
      </w:pPr>
      <w:r>
        <w:t xml:space="preserve">CRSD</w:t>
      </w:r>
    </w:p>
    <w:p>
      <w:pPr>
        <w:numPr>
          <w:ilvl w:val="0"/>
          <w:numId w:val="1003"/>
        </w:numPr>
        <w:pStyle w:val="Compact"/>
      </w:pPr>
      <w:r>
        <w:t xml:space="preserve">Contrat local de Santé</w:t>
      </w:r>
    </w:p>
    <w:p>
      <w:pPr>
        <w:numPr>
          <w:ilvl w:val="0"/>
          <w:numId w:val="1003"/>
        </w:numPr>
        <w:pStyle w:val="Compact"/>
      </w:pPr>
      <w:r>
        <w:t xml:space="preserve">LEADER</w:t>
      </w:r>
    </w:p>
    <w:p>
      <w:pPr>
        <w:numPr>
          <w:ilvl w:val="0"/>
          <w:numId w:val="1003"/>
        </w:numPr>
        <w:pStyle w:val="Compact"/>
      </w:pPr>
      <w:r>
        <w:t xml:space="preserve">OPAH</w:t>
      </w:r>
    </w:p>
    <w:p>
      <w:pPr>
        <w:numPr>
          <w:ilvl w:val="0"/>
          <w:numId w:val="1003"/>
        </w:numPr>
        <w:pStyle w:val="Compact"/>
      </w:pPr>
      <w:r>
        <w:t xml:space="preserve">Convention ANRU</w:t>
      </w:r>
    </w:p>
    <w:p>
      <w:pPr>
        <w:numPr>
          <w:ilvl w:val="0"/>
          <w:numId w:val="1003"/>
        </w:numPr>
        <w:pStyle w:val="Compact"/>
      </w:pPr>
      <w:r>
        <w:t xml:space="preserve">contrat de ruralité</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Axe 1 : renforcer l’attractivité résidentielle sur l’ensemble du territoire, en assurant la promotion et l’attractivité résidentielle auprès des habitants du Pays de Châlons et des actifs extérieurs au territoire, grâce à la création et au maintien d’habitats de qualité sur l’ensemble du territoire</w:t>
      </w:r>
    </w:p>
    <w:p>
      <w:pPr>
        <w:numPr>
          <w:ilvl w:val="0"/>
          <w:numId w:val="1005"/>
        </w:numPr>
        <w:pStyle w:val="Compact"/>
      </w:pPr>
      <w:r>
        <w:t xml:space="preserve">Axe 2 : maintenir une offre de proximité, renforcer l’accès aux services de proximité sur l’ensemble du territoire et adapter les services au vieillissement de la population</w:t>
      </w:r>
    </w:p>
    <w:p>
      <w:pPr>
        <w:numPr>
          <w:ilvl w:val="0"/>
          <w:numId w:val="1005"/>
        </w:numPr>
        <w:pStyle w:val="Compact"/>
      </w:pPr>
      <w:r>
        <w:t xml:space="preserve">Axe 3 : renforcer l’attractivité économique sur l’ensemble du territoire, l’emploi et la formation, en assurant la promotion et l’attractivité économique du territoire, en mettant en adéquation le développement des filières économiques avec les mutations du travail / les qualifications des emplois recherchés par les entreprises</w:t>
      </w:r>
    </w:p>
    <w:p>
      <w:pPr>
        <w:numPr>
          <w:ilvl w:val="0"/>
          <w:numId w:val="1005"/>
        </w:numPr>
        <w:pStyle w:val="Compact"/>
      </w:pPr>
      <w:r>
        <w:t xml:space="preserve">Axe 4 : promouvoir une agriculture raisonnée et durable, en accompagnant le développement des nouvelles filières agricoles</w:t>
      </w:r>
    </w:p>
    <w:p>
      <w:pPr>
        <w:numPr>
          <w:ilvl w:val="0"/>
          <w:numId w:val="1005"/>
        </w:numPr>
        <w:pStyle w:val="Compact"/>
      </w:pPr>
      <w:r>
        <w:t xml:space="preserve">Axe 5 : renforcer la visibilité et l’attractivité touristique sur l’ensemble du territoire et bâtir une destination touristique à part entière pour Châlons et sa région, en développant l’attractivité du territoire par la mise en place de nouveaux produits et services touristiques</w:t>
      </w:r>
    </w:p>
    <w:p>
      <w:pPr>
        <w:numPr>
          <w:ilvl w:val="0"/>
          <w:numId w:val="1005"/>
        </w:numPr>
        <w:pStyle w:val="Compact"/>
      </w:pPr>
      <w:r>
        <w:t xml:space="preserve">Axe 6 : devenir un territoire à énergie positive, en développant la rénovation énergétique du patrimoine bâti du territoire / une</w:t>
      </w:r>
      <w:r>
        <w:t xml:space="preserve"> </w:t>
      </w:r>
      <w:r>
        <w:t xml:space="preserve">“</w:t>
      </w:r>
      <w:r>
        <w:t xml:space="preserve">économie écologique</w:t>
      </w:r>
      <w:r>
        <w:t xml:space="preserve">”</w:t>
      </w:r>
      <w:r>
        <w:t xml:space="preserve">, en préservant et protégeant le patrimoine naturel, en valorisant et en communiquant sur le potentiel vert du territoire, tout en agissant sur les risques</w:t>
      </w:r>
    </w:p>
    <w:p>
      <w:pPr>
        <w:numPr>
          <w:ilvl w:val="0"/>
          <w:numId w:val="1005"/>
        </w:numPr>
        <w:pStyle w:val="Compact"/>
      </w:pPr>
      <w:r>
        <w:t xml:space="preserve">Axe 7 : vers des mobilités durables, plus vertueuses et collaboratives sur l’ensemble du territoire, en promouvant des déplacements plus écologiques, en sensibilisant à une mobilité plus verte et partagée, tant pour les mobilités résidentielles que fonctionnelles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Logistique et Fret</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60</w:t>
      </w:r>
    </w:p>
    <w:p>
      <w:pPr>
        <w:pStyle w:val="Corpsdetexte"/>
      </w:pPr>
      <w:r>
        <w:t xml:space="preserve">Nombre de fiches projet (opération à travailler) : 34</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7"/>
        </w:numPr>
        <w:pStyle w:val="Compact"/>
      </w:pPr>
      <w:r>
        <w:t xml:space="preserve">SEMCHA</w:t>
      </w:r>
    </w:p>
    <w:p>
      <w:pPr>
        <w:numPr>
          <w:ilvl w:val="0"/>
          <w:numId w:val="1007"/>
        </w:numPr>
        <w:pStyle w:val="Compact"/>
      </w:pPr>
      <w:r>
        <w:t xml:space="preserve">Aéroport Paris-Vatry</w:t>
      </w:r>
    </w:p>
    <w:p>
      <w:pPr>
        <w:numPr>
          <w:ilvl w:val="0"/>
          <w:numId w:val="1007"/>
        </w:numPr>
        <w:pStyle w:val="Compact"/>
      </w:pPr>
      <w:r>
        <w:t xml:space="preserve">Chambre de commerce et d’industrie de Marne en Champagne</w:t>
      </w:r>
    </w:p>
    <w:p>
      <w:pPr>
        <w:numPr>
          <w:ilvl w:val="0"/>
          <w:numId w:val="1007"/>
        </w:numPr>
        <w:pStyle w:val="Compact"/>
      </w:pPr>
      <w:r>
        <w:t xml:space="preserve">Chambre d’agriculture de la Marne</w:t>
      </w:r>
    </w:p>
    <w:p>
      <w:pPr>
        <w:numPr>
          <w:ilvl w:val="0"/>
          <w:numId w:val="1007"/>
        </w:numPr>
        <w:pStyle w:val="Compact"/>
      </w:pPr>
      <w:r>
        <w:t xml:space="preserve">Chambre des métiers et de l’artisanat de la Marne</w:t>
      </w:r>
    </w:p>
    <w:p>
      <w:pPr>
        <w:numPr>
          <w:ilvl w:val="0"/>
          <w:numId w:val="1007"/>
        </w:numPr>
        <w:pStyle w:val="Compact"/>
      </w:pPr>
      <w:r>
        <w:t xml:space="preserve">Marne Développement</w:t>
      </w:r>
    </w:p>
    <w:p>
      <w:pPr>
        <w:numPr>
          <w:ilvl w:val="0"/>
          <w:numId w:val="1007"/>
        </w:numPr>
        <w:pStyle w:val="Compact"/>
      </w:pPr>
      <w:r>
        <w:t xml:space="preserve">Banque des Territoires</w:t>
      </w:r>
    </w:p>
    <w:p>
      <w:pPr>
        <w:numPr>
          <w:ilvl w:val="0"/>
          <w:numId w:val="1007"/>
        </w:numPr>
        <w:pStyle w:val="Compact"/>
      </w:pPr>
      <w:r>
        <w:t xml:space="preserve">DT ARS</w:t>
      </w:r>
    </w:p>
    <w:p>
      <w:pPr>
        <w:numPr>
          <w:ilvl w:val="0"/>
          <w:numId w:val="1007"/>
        </w:numPr>
        <w:pStyle w:val="Compact"/>
      </w:pPr>
      <w:r>
        <w:t xml:space="preserve">ADEME</w:t>
      </w:r>
    </w:p>
    <w:p>
      <w:pPr>
        <w:numPr>
          <w:ilvl w:val="0"/>
          <w:numId w:val="1007"/>
        </w:numPr>
        <w:pStyle w:val="Compact"/>
      </w:pPr>
      <w:r>
        <w:t xml:space="preserve">Etablissement public foncier du Grand Est</w:t>
      </w:r>
    </w:p>
    <w:p>
      <w:pPr>
        <w:numPr>
          <w:ilvl w:val="0"/>
          <w:numId w:val="1007"/>
        </w:numPr>
        <w:pStyle w:val="Compact"/>
      </w:pPr>
      <w:r>
        <w:t xml:space="preserve">Comité de développement du Pays de Châlons-en-Champagne</w:t>
      </w:r>
    </w:p>
    <w:p>
      <w:pPr>
        <w:numPr>
          <w:ilvl w:val="0"/>
          <w:numId w:val="1007"/>
        </w:numPr>
        <w:pStyle w:val="Compact"/>
      </w:pPr>
      <w:r>
        <w:t xml:space="preserve">Commune de Châlons-en-Champagne</w:t>
      </w:r>
    </w:p>
    <w:p>
      <w:pPr>
        <w:numPr>
          <w:ilvl w:val="0"/>
          <w:numId w:val="1007"/>
        </w:numPr>
        <w:pStyle w:val="Compact"/>
      </w:pPr>
      <w:r>
        <w:t xml:space="preserve">Commune de Compertrix</w:t>
      </w:r>
    </w:p>
    <w:p>
      <w:pPr>
        <w:numPr>
          <w:ilvl w:val="0"/>
          <w:numId w:val="1007"/>
        </w:numPr>
        <w:pStyle w:val="Compact"/>
      </w:pPr>
      <w:r>
        <w:t xml:space="preserve">Commune de Suippes</w:t>
      </w:r>
    </w:p>
    <w:p>
      <w:pPr>
        <w:numPr>
          <w:ilvl w:val="0"/>
          <w:numId w:val="1007"/>
        </w:numPr>
        <w:pStyle w:val="Compact"/>
      </w:pPr>
      <w:r>
        <w:t xml:space="preserve">Commune de Villers-le-Château</w:t>
      </w:r>
    </w:p>
    <w:p>
      <w:pPr>
        <w:numPr>
          <w:ilvl w:val="0"/>
          <w:numId w:val="1007"/>
        </w:numPr>
        <w:pStyle w:val="Compact"/>
      </w:pPr>
      <w:r>
        <w:t xml:space="preserve">Commune de Soudron</w:t>
      </w:r>
    </w:p>
    <w:p>
      <w:pPr>
        <w:numPr>
          <w:ilvl w:val="0"/>
          <w:numId w:val="1007"/>
        </w:numPr>
        <w:pStyle w:val="Compact"/>
      </w:pPr>
      <w:r>
        <w:t xml:space="preserve">Commune de Fagnières</w:t>
      </w:r>
    </w:p>
    <w:p>
      <w:pPr>
        <w:numPr>
          <w:ilvl w:val="0"/>
          <w:numId w:val="1007"/>
        </w:numPr>
        <w:pStyle w:val="Compact"/>
      </w:pPr>
      <w:r>
        <w:t xml:space="preserve">Commune de St-Gibrien</w:t>
      </w:r>
    </w:p>
    <w:p>
      <w:pPr>
        <w:numPr>
          <w:ilvl w:val="0"/>
          <w:numId w:val="1007"/>
        </w:numPr>
        <w:pStyle w:val="Compact"/>
      </w:pPr>
      <w:r>
        <w:t xml:space="preserve">Commune de St-Memmie</w:t>
      </w:r>
    </w:p>
    <w:p>
      <w:pPr>
        <w:numPr>
          <w:ilvl w:val="0"/>
          <w:numId w:val="1007"/>
        </w:numPr>
        <w:pStyle w:val="Compact"/>
      </w:pPr>
      <w:r>
        <w:t xml:space="preserve">Commune de Recy</w:t>
      </w:r>
    </w:p>
    <w:p>
      <w:pPr>
        <w:numPr>
          <w:ilvl w:val="0"/>
          <w:numId w:val="1007"/>
        </w:numPr>
        <w:pStyle w:val="Compact"/>
      </w:pPr>
      <w:r>
        <w:t xml:space="preserve">Commune de La Veuve</w:t>
      </w:r>
    </w:p>
    <w:p>
      <w:pPr>
        <w:numPr>
          <w:ilvl w:val="0"/>
          <w:numId w:val="1007"/>
        </w:numPr>
        <w:pStyle w:val="Compact"/>
      </w:pPr>
      <w:r>
        <w:t xml:space="preserve">Commune de St-Hilaire-au-Temple</w:t>
      </w:r>
    </w:p>
    <w:p>
      <w:pPr>
        <w:numPr>
          <w:ilvl w:val="0"/>
          <w:numId w:val="1007"/>
        </w:numPr>
        <w:pStyle w:val="Compact"/>
      </w:pPr>
      <w:r>
        <w:t xml:space="preserve">Commune de St-Martin-sur-le-Pré</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523.44M€</w:t>
      </w:r>
    </w:p>
    <w:p>
      <w:pPr>
        <w:pStyle w:val="Corpsdetexte"/>
      </w:pPr>
      <w:r>
        <w:t xml:space="preserve">Montant total en euros des engagements financiers des collectivités locales et leurs établissements publics : 0€</w:t>
      </w:r>
    </w:p>
    <w:p>
      <w:pPr>
        <w:pStyle w:val="Corpsdetexte"/>
      </w:pPr>
      <w:r>
        <w:t xml:space="preserve">Montant total en euros des engagements financiers de l’Etat et de ses opérateurs Plan de relance : 52.47M€</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2023-04-12T16:32:17Z</dcterms:created>
  <dcterms:modified xsi:type="dcterms:W3CDTF">2023-04-12T16:32:17Z</dcterms:modified>
</cp:coreProperties>
</file>

<file path=docProps/custom.xml><?xml version="1.0" encoding="utf-8"?>
<Properties xmlns="http://schemas.openxmlformats.org/officeDocument/2006/custom-properties" xmlns:vt="http://schemas.openxmlformats.org/officeDocument/2006/docPropsVTypes"/>
</file>