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laurent.simplicien@manche.gouv.fr</w:t>
      </w:r>
    </w:p>
    <w:p>
      <w:pPr>
        <w:pStyle w:val="Corpsdetexte"/>
      </w:pPr>
      <w:r>
        <w:t xml:space="preserve">Date de signature du CRTE : 21 septembre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Cotentin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Cotentin, SIREN : 200067205,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eau et climat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territoire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Cohésion sociale et territoriale</w:t>
      </w:r>
    </w:p>
    <w:p>
      <w:pPr>
        <w:numPr>
          <w:ilvl w:val="0"/>
          <w:numId w:val="1004"/>
        </w:numPr>
        <w:pStyle w:val="Compact"/>
      </w:pPr>
      <w:r>
        <w:t xml:space="preserve">Les transitions énergétiques et écologiques</w:t>
      </w:r>
    </w:p>
    <w:p>
      <w:pPr>
        <w:numPr>
          <w:ilvl w:val="0"/>
          <w:numId w:val="1004"/>
        </w:numPr>
        <w:pStyle w:val="Compact"/>
      </w:pPr>
      <w:r>
        <w:t xml:space="preserve">La compétitivité et l’emploi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 : CA du Cotentin, SIREN : 200067205,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2023-04-12T16:28:17Z</dcterms:created>
  <dcterms:modified xsi:type="dcterms:W3CDTF">2023-04-12T16:28:17Z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