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Mézenc Loire Meygal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Mézenc-Loire-Meygal, SIREN : 200073401, nature : CC</w:t>
      </w:r>
    </w:p>
    <w:p>
      <w:pPr>
        <w:numPr>
          <w:ilvl w:val="0"/>
          <w:numId w:val="1001"/>
        </w:numPr>
        <w:pStyle w:val="Compact"/>
      </w:pPr>
      <w:r>
        <w:t xml:space="preserve">nom : Haute-Loire, SIREN : 43,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Cohésion et services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et touristique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CC Mézenc-Loire-Meygal, SIREN : 200073401, nature : CC</w:t>
      </w:r>
    </w:p>
    <w:p>
      <w:pPr>
        <w:numPr>
          <w:ilvl w:val="0"/>
          <w:numId w:val="1006"/>
        </w:numPr>
        <w:pStyle w:val="Compact"/>
      </w:pPr>
      <w:r>
        <w:t xml:space="preserve">nom : Haute-Loire, SIREN : 43,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2023-04-12T16:29:30Z</dcterms:created>
  <dcterms:modified xsi:type="dcterms:W3CDTF">2023-04-12T16:29:30Z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