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morgan.poyer@haute-garonne.gouv.fr</w:t>
      </w:r>
    </w:p>
    <w:p>
      <w:pPr>
        <w:pStyle w:val="Corpsdetexte"/>
      </w:pPr>
      <w:r>
        <w:t xml:space="preserve">Date de signature du CRTE : 27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Val’Aigo</w:t>
      </w:r>
    </w:p>
    <w:p>
      <w:pPr>
        <w:pStyle w:val="Corpsdetexte"/>
      </w:pPr>
      <w:r>
        <w:t xml:space="preserve">Si protocole de préfiguration : date de signature : 2021-09-16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Val’Aïgo, SIREN : 243100773,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Schéma intercommunal d’aménagement et de développement</w:t>
      </w:r>
    </w:p>
    <w:p>
      <w:pPr>
        <w:numPr>
          <w:ilvl w:val="0"/>
          <w:numId w:val="1002"/>
        </w:numPr>
        <w:pStyle w:val="Compact"/>
      </w:pPr>
      <w:r>
        <w:t xml:space="preserve">PLPDMA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Orientation stratégique 1 (volet cohésion) : une cohésion territoriale ferment du vivre ensemble intercommunal</w:t>
      </w:r>
    </w:p>
    <w:p>
      <w:pPr>
        <w:numPr>
          <w:ilvl w:val="0"/>
          <w:numId w:val="1004"/>
        </w:numPr>
        <w:pStyle w:val="Compact"/>
      </w:pPr>
      <w:r>
        <w:t xml:space="preserve">Axe 1 : Raisonner et réorienter l’attractivité démographique</w:t>
      </w:r>
    </w:p>
    <w:p>
      <w:pPr>
        <w:numPr>
          <w:ilvl w:val="0"/>
          <w:numId w:val="1004"/>
        </w:numPr>
        <w:pStyle w:val="Compact"/>
      </w:pPr>
      <w:r>
        <w:t xml:space="preserve">Axe 2 : Adapter l’offre territoriale d’infrastructures et de services à l’évolution sociodémographique</w:t>
      </w:r>
    </w:p>
    <w:p>
      <w:pPr>
        <w:numPr>
          <w:ilvl w:val="0"/>
          <w:numId w:val="1004"/>
        </w:numPr>
        <w:pStyle w:val="Compact"/>
      </w:pPr>
      <w:r>
        <w:t xml:space="preserve">Axe 3 : Rééquilibrer le modèle social du territoire et cultiver une qualité de vie renouvelée</w:t>
      </w:r>
    </w:p>
    <w:p>
      <w:pPr>
        <w:numPr>
          <w:ilvl w:val="0"/>
          <w:numId w:val="1004"/>
        </w:numPr>
        <w:pStyle w:val="Compact"/>
      </w:pPr>
      <w:r>
        <w:t xml:space="preserve">Orientation stratégique 2 (volet relance économique) : une trajectoire économique programmée et ambitieuse</w:t>
      </w:r>
    </w:p>
    <w:p>
      <w:pPr>
        <w:numPr>
          <w:ilvl w:val="0"/>
          <w:numId w:val="1004"/>
        </w:numPr>
        <w:pStyle w:val="Compact"/>
      </w:pPr>
      <w:r>
        <w:t xml:space="preserve">Axe 4 : Régénérer le potentiel productif du territoire</w:t>
      </w:r>
    </w:p>
    <w:p>
      <w:pPr>
        <w:numPr>
          <w:ilvl w:val="0"/>
          <w:numId w:val="1004"/>
        </w:numPr>
        <w:pStyle w:val="Compact"/>
      </w:pPr>
      <w:r>
        <w:t xml:space="preserve">Axe 5 : Diversifier les possibilités de captations de revenus</w:t>
      </w:r>
    </w:p>
    <w:p>
      <w:pPr>
        <w:numPr>
          <w:ilvl w:val="0"/>
          <w:numId w:val="1004"/>
        </w:numPr>
        <w:pStyle w:val="Compact"/>
      </w:pPr>
      <w:r>
        <w:t xml:space="preserve">Axe 6 : Favoriser l’ancrage territorial des flux de revenus</w:t>
      </w:r>
    </w:p>
    <w:p>
      <w:pPr>
        <w:numPr>
          <w:ilvl w:val="0"/>
          <w:numId w:val="1004"/>
        </w:numPr>
        <w:pStyle w:val="Compact"/>
      </w:pPr>
      <w:r>
        <w:t xml:space="preserve">Orientation stratégique 3 (Volet transition écologique) : Une qualité de vie, gage d’une attractivité maîtrisée et renouvelée</w:t>
      </w:r>
    </w:p>
    <w:p>
      <w:pPr>
        <w:numPr>
          <w:ilvl w:val="0"/>
          <w:numId w:val="1004"/>
        </w:numPr>
        <w:pStyle w:val="Compact"/>
      </w:pPr>
      <w:r>
        <w:t xml:space="preserve">Axe 7 : Freiner significativement la dynamique d’artificialisation des sols</w:t>
      </w:r>
    </w:p>
    <w:p>
      <w:pPr>
        <w:numPr>
          <w:ilvl w:val="0"/>
          <w:numId w:val="1004"/>
        </w:numPr>
        <w:pStyle w:val="Compact"/>
      </w:pPr>
      <w:r>
        <w:t xml:space="preserve">Axe 8 : Agir en faveur de la préservation, de la valorisation du patrimoine naturel et conforter la bonne orientation du territoire sur le plan énergétique</w:t>
      </w:r>
    </w:p>
    <w:p>
      <w:pPr>
        <w:numPr>
          <w:ilvl w:val="0"/>
          <w:numId w:val="1004"/>
        </w:numPr>
        <w:pStyle w:val="Compact"/>
      </w:pPr>
      <w:r>
        <w:t xml:space="preserve">Axe 9 : Accompagner l’évolution des pratiques de (dé)mobilité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94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CC Val’Aïgo, SIREN : 243100773, nature : CC</w:t>
      </w:r>
    </w:p>
    <w:p>
      <w:pPr>
        <w:numPr>
          <w:ilvl w:val="0"/>
          <w:numId w:val="1006"/>
        </w:numPr>
        <w:pStyle w:val="Compact"/>
      </w:pPr>
      <w:r>
        <w:t xml:space="preserve">Préfet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2023-04-12T16:31:38Z</dcterms:created>
  <dcterms:modified xsi:type="dcterms:W3CDTF">2023-04-12T16:31:38Z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