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mmartin@cc-capcorse.corsica</w:t>
      </w:r>
    </w:p>
    <w:p>
      <w:pPr>
        <w:pStyle w:val="Corpsdetexte"/>
      </w:pPr>
      <w:r>
        <w:t xml:space="preserve">Date de signature du CRTE : 28 janvier 2022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du Cap Corse</w:t>
      </w:r>
    </w:p>
    <w:p>
      <w:pPr>
        <w:pStyle w:val="Corpsdetexte"/>
      </w:pPr>
      <w:r>
        <w:t xml:space="preserve">Si protocole de préfiguration : date de signature : 2021-06-28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du Cap Corse, SIREN : 200042943,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La consolidation de la cohésion territoriale</w:t>
      </w:r>
    </w:p>
    <w:p>
      <w:pPr>
        <w:numPr>
          <w:ilvl w:val="0"/>
          <w:numId w:val="1005"/>
        </w:numPr>
        <w:pStyle w:val="Compact"/>
      </w:pPr>
      <w:r>
        <w:t xml:space="preserve">Le développement de l’attractivité du Cap Corse</w:t>
      </w:r>
    </w:p>
    <w:p>
      <w:pPr>
        <w:numPr>
          <w:ilvl w:val="0"/>
          <w:numId w:val="1005"/>
        </w:numPr>
        <w:pStyle w:val="Compact"/>
      </w:pPr>
      <w:r>
        <w:t xml:space="preserve">La transition écologique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42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du Cap Corse, SIREN : 200042943,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CCI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Oui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numPr>
          <w:ilvl w:val="0"/>
          <w:numId w:val="1010"/>
        </w:numPr>
        <w:pStyle w:val="Compact"/>
      </w:pPr>
      <w:r>
        <w:t xml:space="preserve">Bureau d’étude marché ANCT</w:t>
      </w:r>
    </w:p>
    <w:p>
      <w:pPr>
        <w:numPr>
          <w:ilvl w:val="0"/>
          <w:numId w:val="1010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2023-04-12T16:32:43Z</dcterms:created>
  <dcterms:modified xsi:type="dcterms:W3CDTF">2023-04-12T16:32:43Z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