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caroline.salmon@cotes-darmor.gouv.fr</w:t>
      </w:r>
    </w:p>
    <w:p>
      <w:pPr>
        <w:pStyle w:val="Corpsdetexte"/>
      </w:pPr>
      <w:r>
        <w:t xml:space="preserve">Date de signature du CRTE : 21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Guingamp-Paimpol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Guingamp-Paimpol Agglomération de l’Armor à l’Argoat, SIREN : 200067981,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CTEF</w:t>
      </w:r>
    </w:p>
    <w:p>
      <w:pPr>
        <w:numPr>
          <w:ilvl w:val="0"/>
          <w:numId w:val="1003"/>
        </w:numPr>
        <w:pStyle w:val="Compact"/>
      </w:pPr>
      <w:r>
        <w:t xml:space="preserve">Programme d’Intérêt Général (PIG) avec l’ANAH</w:t>
      </w:r>
    </w:p>
    <w:p>
      <w:pPr>
        <w:numPr>
          <w:ilvl w:val="0"/>
          <w:numId w:val="1003"/>
        </w:numPr>
        <w:pStyle w:val="Compact"/>
      </w:pPr>
      <w:r>
        <w:t xml:space="preserve">Convention entre le Ministère du Travail, de l’Emploi et de l’Insertion et GPA valant volet emploi du CRTE (démonstrateur emploi)</w:t>
      </w:r>
    </w:p>
    <w:p>
      <w:pPr>
        <w:numPr>
          <w:ilvl w:val="0"/>
          <w:numId w:val="1003"/>
        </w:numPr>
        <w:pStyle w:val="Compact"/>
      </w:pPr>
      <w:r>
        <w:t xml:space="preserve">POPSU Territoires sur Guingamp</w:t>
      </w:r>
    </w:p>
    <w:p>
      <w:pPr>
        <w:numPr>
          <w:ilvl w:val="0"/>
          <w:numId w:val="1003"/>
        </w:numPr>
        <w:pStyle w:val="Compact"/>
      </w:pPr>
      <w:r>
        <w:t xml:space="preserve">AMI régionale centres-villes et centes-bourg sur PAIMPOL</w:t>
      </w:r>
    </w:p>
    <w:p>
      <w:pPr>
        <w:numPr>
          <w:ilvl w:val="0"/>
          <w:numId w:val="1003"/>
        </w:numPr>
        <w:pStyle w:val="Compact"/>
      </w:pPr>
      <w:r>
        <w:t xml:space="preserve">contrats territoriaux de bassins versants pour le Grand Trieux ET LE Guindy Jaudy bizien avec l’agence de l’eau</w:t>
      </w:r>
    </w:p>
    <w:p>
      <w:pPr>
        <w:numPr>
          <w:ilvl w:val="0"/>
          <w:numId w:val="1003"/>
        </w:numPr>
        <w:pStyle w:val="Compact"/>
      </w:pPr>
      <w:r>
        <w:t xml:space="preserve">contrat de progrès 2022-2024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Viser l’excellence environnementale pour gagner en autonomie - Préserver et valoriser le patrimoine naturel pour un cadre de vie de qualité - Favoriser l’économie circulaire et oprimiser les ressources locales - Favoriser le développement des énergies renouvelables et encourager la maîtrise de la demande en énergie</w:t>
      </w:r>
    </w:p>
    <w:p>
      <w:pPr>
        <w:numPr>
          <w:ilvl w:val="0"/>
          <w:numId w:val="1005"/>
        </w:numPr>
        <w:pStyle w:val="Compact"/>
      </w:pPr>
      <w:r>
        <w:t xml:space="preserve">Orientation 2 : Rendre l’agglomération accueillante et inovante pour bien y vivre - Agir pour un territoire qui attire de nouveaux ménages - S’affirmer comme un territoire d’opportunités et de conquêtes pour les entreprises - Renforcer la vocation et la dynamique touristique du territoire - Agir sur l’image et le fonctionnement de l’agglomération</w:t>
      </w:r>
    </w:p>
    <w:p>
      <w:pPr>
        <w:numPr>
          <w:ilvl w:val="0"/>
          <w:numId w:val="1005"/>
        </w:numPr>
        <w:pStyle w:val="Compact"/>
      </w:pPr>
      <w:r>
        <w:t xml:space="preserve">Orientation 3 : Agir au service d’un développement économique audacieux, créatif et innovant - Soutenir l’économie productive : l’économie de la mer et l’agriculture en priorité - Développer la formation en lien avec les filières existantes et en devoir - Préserver et développer une économie de proximité et solidaires</w:t>
      </w:r>
    </w:p>
    <w:p>
      <w:pPr>
        <w:numPr>
          <w:ilvl w:val="0"/>
          <w:numId w:val="1005"/>
        </w:numPr>
        <w:pStyle w:val="Compact"/>
      </w:pPr>
      <w:r>
        <w:t xml:space="preserve">Orientation 4 : Offrir un service équitable et de qualité à l’ensemble des habitants du territoire - Développer les cultures - Améliorer l’accè aux soins et à la santé - Des services adaptés tout au log de la vie, sur l’ensemble du territoire Orientation 5 : Favoriser un développement harmonieux et solidaire de notre territoire - Améliorer la mobilité sur le territoire - Lutter contre la fracture numérique et développer les usages du numérique - Un développement basé sur un nouveau dialogue urbain/rural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Opérateurs externes</w:t>
      </w:r>
    </w:p>
    <w:p>
      <w:pPr>
        <w:numPr>
          <w:ilvl w:val="0"/>
          <w:numId w:val="1007"/>
        </w:numPr>
        <w:pStyle w:val="Compact"/>
      </w:pPr>
      <w:r>
        <w:t xml:space="preserve">nom : CA Guingamp-Paimpol Agglomération de l’Armor à l’Argoat, SIREN : 200067981, nature : CA</w:t>
      </w:r>
    </w:p>
    <w:p>
      <w:pPr>
        <w:numPr>
          <w:ilvl w:val="0"/>
          <w:numId w:val="1007"/>
        </w:numPr>
        <w:pStyle w:val="Compact"/>
      </w:pPr>
      <w:r>
        <w:t xml:space="preserve">Bureau des 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2023-04-12T16:33:55Z</dcterms:created>
  <dcterms:modified xsi:type="dcterms:W3CDTF">2023-04-12T16:33:55Z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