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png" ContentType="image/png"/>
  <Override PartName="/word/media/image2.png" ContentType="image/png"/>
  <Override PartName="/word/media/image3.png" ContentType="image/png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re1"/>
      </w:pPr>
      <w:bookmarkStart w:id="20" w:name="informations-générales"/>
      <w:r>
        <w:t xml:space="preserve">Informations générales</w:t>
      </w:r>
      <w:bookmarkEnd w:id="20"/>
    </w:p>
    <w:p>
      <w:pPr>
        <w:pStyle w:val="FirstParagraph"/>
      </w:pPr>
      <w:r>
        <w:t xml:space="preserve">Email de contact : sandrine.cauvin@calvados.gouv.fr</w:t>
      </w:r>
    </w:p>
    <w:p>
      <w:pPr>
        <w:pStyle w:val="Corpsdetexte"/>
      </w:pPr>
      <w:r>
        <w:t xml:space="preserve">Date de signature du CRTE : 28 mai 2021</w:t>
      </w:r>
    </w:p>
    <w:p>
      <w:pPr>
        <w:pStyle w:val="Corpsdetexte"/>
      </w:pPr>
      <w:r>
        <w:t xml:space="preserve">Nature juridique de la structure porteuse : Communauté de communes</w:t>
      </w:r>
    </w:p>
    <w:p>
      <w:pPr>
        <w:pStyle w:val="Corpsdetexte"/>
      </w:pPr>
      <w:r>
        <w:t xml:space="preserve">Nom de la structure porteuse : CC COEUR DE NACRE</w:t>
      </w:r>
    </w:p>
    <w:p>
      <w:pPr>
        <w:pStyle w:val="Corpsdetexte"/>
      </w:pPr>
      <w:r>
        <w:t xml:space="preserve">Si protocole de préfiguration : date de signature : 2021-01-20</w:t>
      </w:r>
    </w:p>
    <w:p>
      <w:pPr>
        <w:pStyle w:val="Titre1"/>
      </w:pPr>
      <w:bookmarkStart w:id="21" w:name="signataires"/>
      <w:r>
        <w:t xml:space="preserve">Signataires</w:t>
      </w:r>
      <w:bookmarkEnd w:id="21"/>
    </w:p>
    <w:p>
      <w:pPr>
        <w:pStyle w:val="FirstParagraph"/>
      </w:pPr>
      <w:r>
        <w:t xml:space="preserve">Nature des signataires du CRTE :</w:t>
      </w:r>
    </w:p>
    <w:p>
      <w:pPr>
        <w:numPr>
          <w:ilvl w:val="0"/>
          <w:numId w:val="1001"/>
        </w:numPr>
        <w:pStyle w:val="Compact"/>
      </w:pPr>
      <w:r>
        <w:t xml:space="preserve">PREFET</w:t>
      </w:r>
    </w:p>
    <w:p>
      <w:pPr>
        <w:numPr>
          <w:ilvl w:val="0"/>
          <w:numId w:val="1001"/>
        </w:numPr>
        <w:pStyle w:val="Compact"/>
      </w:pPr>
      <w:r>
        <w:t xml:space="preserve">nom : CC Coeur de Nacre, SIREN : 241400860, nature : CC</w:t>
      </w:r>
    </w:p>
    <w:p>
      <w:pPr>
        <w:numPr>
          <w:ilvl w:val="0"/>
          <w:numId w:val="1001"/>
        </w:numPr>
        <w:pStyle w:val="Compact"/>
      </w:pPr>
      <w:r>
        <w:t xml:space="preserve">nom : Calvados, SIREN : 14, nature : departement</w:t>
      </w:r>
    </w:p>
    <w:p>
      <w:pPr>
        <w:numPr>
          <w:ilvl w:val="0"/>
          <w:numId w:val="1001"/>
        </w:numPr>
        <w:pStyle w:val="Compact"/>
      </w:pPr>
      <w:r>
        <w:t xml:space="preserve">préfet</w:t>
      </w:r>
    </w:p>
    <w:p>
      <w:pPr>
        <w:pStyle w:val="Titre1"/>
      </w:pPr>
      <w:bookmarkStart w:id="22" w:name="stratégie"/>
      <w:r>
        <w:t xml:space="preserve">Stratégie</w:t>
      </w:r>
      <w:bookmarkEnd w:id="22"/>
    </w:p>
    <w:p>
      <w:pPr>
        <w:pStyle w:val="FirstParagraph"/>
      </w:pPr>
      <w:r>
        <w:t xml:space="preserve">Nature des documents stratégiques et plans-programmes préexistants :</w:t>
      </w:r>
    </w:p>
    <w:p>
      <w:pPr>
        <w:numPr>
          <w:ilvl w:val="0"/>
          <w:numId w:val="1002"/>
        </w:numPr>
        <w:pStyle w:val="Compact"/>
      </w:pPr>
      <w:r>
        <w:t xml:space="preserve">PLUI</w:t>
      </w:r>
    </w:p>
    <w:p>
      <w:pPr>
        <w:numPr>
          <w:ilvl w:val="0"/>
          <w:numId w:val="1002"/>
        </w:numPr>
        <w:pStyle w:val="Compact"/>
      </w:pPr>
      <w:r>
        <w:t xml:space="preserve">Atlas de la biodiversité</w:t>
      </w:r>
    </w:p>
    <w:p>
      <w:pPr>
        <w:numPr>
          <w:ilvl w:val="0"/>
          <w:numId w:val="1002"/>
        </w:numPr>
        <w:pStyle w:val="Compact"/>
      </w:pPr>
      <w:r>
        <w:t xml:space="preserve">TEPCV</w:t>
      </w:r>
    </w:p>
    <w:p>
      <w:pPr>
        <w:numPr>
          <w:ilvl w:val="0"/>
          <w:numId w:val="1002"/>
        </w:numPr>
        <w:pStyle w:val="Compact"/>
      </w:pPr>
      <w:r>
        <w:t xml:space="preserve">PCAET</w:t>
      </w:r>
    </w:p>
    <w:p>
      <w:pPr>
        <w:numPr>
          <w:ilvl w:val="0"/>
          <w:numId w:val="1002"/>
        </w:numPr>
        <w:pStyle w:val="Compact"/>
      </w:pPr>
      <w:r>
        <w:t xml:space="preserve">Projet alimentaire territorial</w:t>
      </w:r>
    </w:p>
    <w:p>
      <w:pPr>
        <w:numPr>
          <w:ilvl w:val="0"/>
          <w:numId w:val="1002"/>
        </w:numPr>
        <w:pStyle w:val="Compact"/>
      </w:pPr>
      <w:r>
        <w:t xml:space="preserve">Projet culturel de territoire</w:t>
      </w:r>
    </w:p>
    <w:p>
      <w:pPr>
        <w:numPr>
          <w:ilvl w:val="0"/>
          <w:numId w:val="1002"/>
        </w:numPr>
        <w:pStyle w:val="Compact"/>
      </w:pPr>
      <w:r>
        <w:t xml:space="preserve">SCOT</w:t>
      </w:r>
    </w:p>
    <w:p>
      <w:pPr>
        <w:pStyle w:val="FirstParagraph"/>
      </w:pPr>
      <w:r>
        <w:t xml:space="preserve">Liste des contrats figurant dans le CRTE :</w:t>
      </w:r>
    </w:p>
    <w:p>
      <w:pPr>
        <w:numPr>
          <w:ilvl w:val="0"/>
          <w:numId w:val="1003"/>
        </w:numPr>
        <w:pStyle w:val="Compact"/>
      </w:pPr>
      <w:r>
        <w:t xml:space="preserve">Contrat Culture, Territoire, Enfance et Jeunesse</w:t>
      </w:r>
    </w:p>
    <w:p>
      <w:pPr>
        <w:pStyle w:val="FirstParagraph"/>
      </w:pPr>
      <w:r>
        <w:t xml:space="preserve">Liste des programmes de l’ANCT intégrés :</w:t>
      </w:r>
    </w:p>
    <w:p>
      <w:pPr>
        <w:numPr>
          <w:ilvl w:val="0"/>
          <w:numId w:val="1004"/>
        </w:numPr>
        <w:pStyle w:val="Compact"/>
      </w:pPr>
      <w:r>
        <w:t xml:space="preserve">France services</w:t>
      </w:r>
    </w:p>
    <w:p>
      <w:pPr>
        <w:pStyle w:val="FirstParagraph"/>
      </w:pPr>
      <w:r>
        <w:t xml:space="preserve">Liste des orientations stratégiques, axes, ambitions, volets, objectifs… :</w:t>
      </w:r>
    </w:p>
    <w:p>
      <w:pPr>
        <w:numPr>
          <w:ilvl w:val="0"/>
          <w:numId w:val="1005"/>
        </w:numPr>
        <w:pStyle w:val="Compact"/>
      </w:pPr>
      <w:r>
        <w:t xml:space="preserve">rénovation énergétique</w:t>
      </w:r>
    </w:p>
    <w:p>
      <w:pPr>
        <w:numPr>
          <w:ilvl w:val="0"/>
          <w:numId w:val="1005"/>
        </w:numPr>
        <w:pStyle w:val="Compact"/>
      </w:pPr>
      <w:r>
        <w:t xml:space="preserve">emploi</w:t>
      </w:r>
    </w:p>
    <w:p>
      <w:pPr>
        <w:numPr>
          <w:ilvl w:val="0"/>
          <w:numId w:val="1005"/>
        </w:numPr>
        <w:pStyle w:val="Compact"/>
      </w:pPr>
      <w:r>
        <w:t xml:space="preserve">écomobilité</w:t>
      </w:r>
    </w:p>
    <w:p>
      <w:pPr>
        <w:numPr>
          <w:ilvl w:val="0"/>
          <w:numId w:val="1005"/>
        </w:numPr>
        <w:pStyle w:val="Compact"/>
      </w:pPr>
      <w:r>
        <w:t xml:space="preserve">santé de proximité</w:t>
      </w:r>
    </w:p>
    <w:p>
      <w:pPr>
        <w:numPr>
          <w:ilvl w:val="0"/>
          <w:numId w:val="1005"/>
        </w:numPr>
        <w:pStyle w:val="Compact"/>
      </w:pPr>
      <w:r>
        <w:t xml:space="preserve">offre culturelle et éducation</w:t>
      </w:r>
    </w:p>
    <w:p>
      <w:pPr>
        <w:numPr>
          <w:ilvl w:val="0"/>
          <w:numId w:val="1005"/>
        </w:numPr>
        <w:pStyle w:val="Compact"/>
      </w:pPr>
      <w:r>
        <w:t xml:space="preserve">sécurité</w:t>
      </w:r>
    </w:p>
    <w:p>
      <w:pPr>
        <w:numPr>
          <w:ilvl w:val="0"/>
          <w:numId w:val="1005"/>
        </w:numPr>
        <w:pStyle w:val="Compact"/>
      </w:pPr>
      <w:r>
        <w:t xml:space="preserve">alimentation et tourisme durable</w:t>
      </w:r>
    </w:p>
    <w:p>
      <w:pPr>
        <w:pStyle w:val="FirstParagraph"/>
      </w:pPr>
      <w:r>
        <w:t xml:space="preserve">Réalisation d’un diagnostic initial du territoire : Oui</w:t>
      </w:r>
    </w:p>
    <w:p>
      <w:pPr>
        <w:pStyle w:val="Corpsdetexte"/>
      </w:pPr>
      <w:r>
        <w:t xml:space="preserve">Mise à jour du projet de territoire avec l’élaboration du CRTE : NC</w:t>
      </w:r>
    </w:p>
    <w:p>
      <w:pPr>
        <w:pStyle w:val="Titre1"/>
      </w:pPr>
      <w:bookmarkStart w:id="23" w:name="plan-daction"/>
      <w:r>
        <w:t xml:space="preserve">Plan d’action</w:t>
      </w:r>
      <w:bookmarkEnd w:id="23"/>
    </w:p>
    <w:p>
      <w:pPr>
        <w:pStyle w:val="FirstParagraph"/>
      </w:pPr>
      <w:r>
        <w:t xml:space="preserve">Domaines d’action publique couverts :</w:t>
      </w:r>
    </w:p>
    <w:p>
      <w:pPr>
        <w:numPr>
          <w:ilvl w:val="0"/>
          <w:numId w:val="1006"/>
        </w:numPr>
        <w:pStyle w:val="Compact"/>
      </w:pPr>
      <w:r>
        <w:t xml:space="preserve">Circuits courts agricoles</w:t>
      </w:r>
    </w:p>
    <w:p>
      <w:pPr>
        <w:numPr>
          <w:ilvl w:val="0"/>
          <w:numId w:val="1006"/>
        </w:numPr>
        <w:pStyle w:val="Compact"/>
      </w:pPr>
      <w:r>
        <w:t xml:space="preserve">Restauration et alimentation durable</w:t>
      </w:r>
    </w:p>
    <w:p>
      <w:pPr>
        <w:numPr>
          <w:ilvl w:val="0"/>
          <w:numId w:val="1006"/>
        </w:numPr>
        <w:pStyle w:val="Compact"/>
      </w:pPr>
      <w:r>
        <w:t xml:space="preserve">Espaces publics, espaces verts</w:t>
      </w:r>
    </w:p>
    <w:p>
      <w:pPr>
        <w:numPr>
          <w:ilvl w:val="0"/>
          <w:numId w:val="1006"/>
        </w:numPr>
        <w:pStyle w:val="Compact"/>
      </w:pPr>
      <w:r>
        <w:t xml:space="preserve">Extension urbaine maîtrisée</w:t>
      </w:r>
    </w:p>
    <w:p>
      <w:pPr>
        <w:numPr>
          <w:ilvl w:val="0"/>
          <w:numId w:val="1006"/>
        </w:numPr>
        <w:pStyle w:val="Compact"/>
      </w:pPr>
      <w:r>
        <w:t xml:space="preserve">Infrastructure(s) et réseaux (numérique, eau,chaleur…)</w:t>
      </w:r>
    </w:p>
    <w:p>
      <w:pPr>
        <w:numPr>
          <w:ilvl w:val="0"/>
          <w:numId w:val="1006"/>
        </w:numPr>
        <w:pStyle w:val="Compact"/>
      </w:pPr>
      <w:r>
        <w:t xml:space="preserve">Connaissance et protection de la biodiversité et milieux naturels</w:t>
      </w:r>
    </w:p>
    <w:p>
      <w:pPr>
        <w:numPr>
          <w:ilvl w:val="0"/>
          <w:numId w:val="1006"/>
        </w:numPr>
        <w:pStyle w:val="Compact"/>
      </w:pPr>
      <w:r>
        <w:t xml:space="preserve">Gestion des risques (inondations…)</w:t>
      </w:r>
    </w:p>
    <w:p>
      <w:pPr>
        <w:numPr>
          <w:ilvl w:val="0"/>
          <w:numId w:val="1006"/>
        </w:numPr>
        <w:pStyle w:val="Compact"/>
      </w:pPr>
      <w:r>
        <w:t xml:space="preserve">Gestion, valorisation des déchets, réemploi</w:t>
      </w:r>
    </w:p>
    <w:p>
      <w:pPr>
        <w:numPr>
          <w:ilvl w:val="0"/>
          <w:numId w:val="1006"/>
        </w:numPr>
        <w:pStyle w:val="Compact"/>
      </w:pPr>
      <w:r>
        <w:t xml:space="preserve">Emploi et Insertion</w:t>
      </w:r>
    </w:p>
    <w:p>
      <w:pPr>
        <w:numPr>
          <w:ilvl w:val="0"/>
          <w:numId w:val="1006"/>
        </w:numPr>
        <w:pStyle w:val="Compact"/>
      </w:pPr>
      <w:r>
        <w:t xml:space="preserve">Tourisme durable</w:t>
      </w:r>
    </w:p>
    <w:p>
      <w:pPr>
        <w:numPr>
          <w:ilvl w:val="0"/>
          <w:numId w:val="1006"/>
        </w:numPr>
        <w:pStyle w:val="Compact"/>
      </w:pPr>
      <w:r>
        <w:t xml:space="preserve">Economie, production et consommation durable</w:t>
      </w:r>
    </w:p>
    <w:p>
      <w:pPr>
        <w:numPr>
          <w:ilvl w:val="0"/>
          <w:numId w:val="1006"/>
        </w:numPr>
        <w:pStyle w:val="Compact"/>
      </w:pPr>
      <w:r>
        <w:t xml:space="preserve">Commerce, artisanat de proximité</w:t>
      </w:r>
    </w:p>
    <w:p>
      <w:pPr>
        <w:numPr>
          <w:ilvl w:val="0"/>
          <w:numId w:val="1006"/>
        </w:numPr>
        <w:pStyle w:val="Compact"/>
      </w:pPr>
      <w:r>
        <w:t xml:space="preserve">Efficacité énergétique</w:t>
      </w:r>
    </w:p>
    <w:p>
      <w:pPr>
        <w:numPr>
          <w:ilvl w:val="0"/>
          <w:numId w:val="1006"/>
        </w:numPr>
        <w:pStyle w:val="Compact"/>
      </w:pPr>
      <w:r>
        <w:t xml:space="preserve">Production d’énergies renouvelables</w:t>
      </w:r>
    </w:p>
    <w:p>
      <w:pPr>
        <w:numPr>
          <w:ilvl w:val="0"/>
          <w:numId w:val="1006"/>
        </w:numPr>
        <w:pStyle w:val="Compact"/>
      </w:pPr>
      <w:r>
        <w:t xml:space="preserve">Mobilités douces</w:t>
      </w:r>
    </w:p>
    <w:p>
      <w:pPr>
        <w:numPr>
          <w:ilvl w:val="0"/>
          <w:numId w:val="1006"/>
        </w:numPr>
        <w:pStyle w:val="Compact"/>
      </w:pPr>
      <w:r>
        <w:t xml:space="preserve">Organisation des déplacements</w:t>
      </w:r>
    </w:p>
    <w:p>
      <w:pPr>
        <w:numPr>
          <w:ilvl w:val="0"/>
          <w:numId w:val="1006"/>
        </w:numPr>
        <w:pStyle w:val="Compact"/>
      </w:pPr>
      <w:r>
        <w:t xml:space="preserve">Culture et patrimoine</w:t>
      </w:r>
    </w:p>
    <w:p>
      <w:pPr>
        <w:numPr>
          <w:ilvl w:val="0"/>
          <w:numId w:val="1006"/>
        </w:numPr>
        <w:pStyle w:val="Compact"/>
      </w:pPr>
      <w:r>
        <w:t xml:space="preserve">Sport</w:t>
      </w:r>
    </w:p>
    <w:p>
      <w:pPr>
        <w:numPr>
          <w:ilvl w:val="0"/>
          <w:numId w:val="1006"/>
        </w:numPr>
        <w:pStyle w:val="Compact"/>
      </w:pPr>
      <w:r>
        <w:t xml:space="preserve">Education</w:t>
      </w:r>
    </w:p>
    <w:p>
      <w:pPr>
        <w:numPr>
          <w:ilvl w:val="0"/>
          <w:numId w:val="1006"/>
        </w:numPr>
        <w:pStyle w:val="Compact"/>
      </w:pPr>
      <w:r>
        <w:t xml:space="preserve">Santé et soins</w:t>
      </w:r>
    </w:p>
    <w:p>
      <w:pPr>
        <w:numPr>
          <w:ilvl w:val="0"/>
          <w:numId w:val="1006"/>
        </w:numPr>
        <w:pStyle w:val="Compact"/>
      </w:pPr>
      <w:r>
        <w:t xml:space="preserve">Sûreté et sécurité</w:t>
      </w:r>
    </w:p>
    <w:p>
      <w:pPr>
        <w:pStyle w:val="FirstParagraph"/>
      </w:pPr>
      <w:r>
        <w:t xml:space="preserve">Nombre de fiches action (opération prête à démarrer) : 23</w:t>
      </w:r>
    </w:p>
    <w:p>
      <w:pPr>
        <w:pStyle w:val="Corpsdetexte"/>
      </w:pPr>
      <w:r>
        <w:t xml:space="preserve">Nombre de fiches projet (opération à travailler) : 17</w:t>
      </w:r>
    </w:p>
    <w:p>
      <w:pPr>
        <w:pStyle w:val="Titre1"/>
      </w:pPr>
      <w:bookmarkStart w:id="24" w:name="gouvernance-et-évaluation"/>
      <w:r>
        <w:t xml:space="preserve">Gouvernance et évaluation</w:t>
      </w:r>
      <w:bookmarkEnd w:id="24"/>
    </w:p>
    <w:p>
      <w:pPr>
        <w:pStyle w:val="FirstParagraph"/>
      </w:pPr>
      <w:r>
        <w:t xml:space="preserve">composition du COPIL :</w:t>
      </w:r>
    </w:p>
    <w:p>
      <w:pPr>
        <w:numPr>
          <w:ilvl w:val="0"/>
          <w:numId w:val="1007"/>
        </w:numPr>
        <w:pStyle w:val="Compact"/>
      </w:pPr>
      <w:r>
        <w:t xml:space="preserve">services de l’Etat</w:t>
      </w:r>
    </w:p>
    <w:p>
      <w:pPr>
        <w:numPr>
          <w:ilvl w:val="0"/>
          <w:numId w:val="1007"/>
        </w:numPr>
        <w:pStyle w:val="Compact"/>
      </w:pPr>
      <w:r>
        <w:t xml:space="preserve">nom : CC Coeur de Nacre, SIREN : 241400860, nature : CC</w:t>
      </w:r>
    </w:p>
    <w:p>
      <w:pPr>
        <w:numPr>
          <w:ilvl w:val="0"/>
          <w:numId w:val="1007"/>
        </w:numPr>
        <w:pStyle w:val="Compact"/>
      </w:pPr>
      <w:r>
        <w:t xml:space="preserve">nom : Calvados, SIREN : 14, nature : departement</w:t>
      </w:r>
    </w:p>
    <w:p>
      <w:pPr>
        <w:pStyle w:val="FirstParagraph"/>
      </w:pPr>
      <w:r>
        <w:t xml:space="preserve">Liste des instances de partenariat mobilisées ou créées :</w:t>
      </w:r>
    </w:p>
    <w:p>
      <w:pPr>
        <w:pStyle w:val="Corpsdetexte"/>
      </w:pPr>
      <w:r>
        <w:t xml:space="preserve">Fréquence prévisionnelle annuelle de réunion du COPIL : None</w:t>
      </w:r>
    </w:p>
    <w:p>
      <w:pPr>
        <w:pStyle w:val="Corpsdetexte"/>
      </w:pPr>
      <w:r>
        <w:t xml:space="preserve">Fréquence prévisionnelle annuelle de réunion du comité technique : None</w:t>
      </w:r>
    </w:p>
    <w:p>
      <w:pPr>
        <w:pStyle w:val="Corpsdetexte"/>
      </w:pPr>
      <w:r>
        <w:t xml:space="preserve">Liste des partenaires socio-économiques :</w:t>
      </w:r>
    </w:p>
    <w:p>
      <w:pPr>
        <w:pStyle w:val="Corpsdetexte"/>
      </w:pPr>
      <w:r>
        <w:t xml:space="preserve">Démarches de co-construction du CRTE : None</w:t>
      </w:r>
    </w:p>
    <w:p>
      <w:pPr>
        <w:pStyle w:val="Corpsdetexte"/>
      </w:pPr>
      <w:r>
        <w:t xml:space="preserve">Existence d’un volet de coopération interterritoriale (dont volet transfrontalier) : NC</w:t>
      </w:r>
    </w:p>
    <w:p>
      <w:pPr>
        <w:pStyle w:val="Titre2"/>
      </w:pPr>
      <w:bookmarkStart w:id="25" w:name="Xf583ce9a2f12b372527ffe5c5c594a344f34da9"/>
      <w:r>
        <w:t xml:space="preserve">Domaines d’action publique de la coopération interterritoriale :</w:t>
      </w:r>
      <w:bookmarkEnd w:id="25"/>
    </w:p>
    <w:p>
      <w:pPr>
        <w:pStyle w:val="FirstParagraph"/>
      </w:pPr>
      <w:r>
        <w:t xml:space="preserve">Définition d’indicateurs de suivi des objectifs opérationnels du CRTE : Non</w:t>
      </w:r>
    </w:p>
    <w:p>
      <w:pPr>
        <w:pStyle w:val="Corpsdetexte"/>
      </w:pPr>
      <w:r>
        <w:t xml:space="preserve">État des lieux écologique renseigné à l’aune des 13 indicateurs du socle national : Oui</w:t>
      </w:r>
    </w:p>
    <w:p>
      <w:pPr>
        <w:pStyle w:val="Corpsdetexte"/>
      </w:pPr>
      <w:r>
        <w:t xml:space="preserve">Recours à la grille d’analyse ex-ante des actions :</w:t>
      </w:r>
    </w:p>
    <w:p>
      <w:pPr>
        <w:pStyle w:val="Titre1"/>
      </w:pPr>
      <w:bookmarkStart w:id="26" w:name="ingénierie-et-financement"/>
      <w:r>
        <w:t xml:space="preserve">Ingénierie et financement</w:t>
      </w:r>
      <w:bookmarkEnd w:id="26"/>
    </w:p>
    <w:p>
      <w:pPr>
        <w:pStyle w:val="FirstParagraph"/>
      </w:pPr>
      <w:r>
        <w:t xml:space="preserve">Recrutement d’un chef de projet / chargé de mission dédié : Non</w:t>
      </w:r>
    </w:p>
    <w:p>
      <w:pPr>
        <w:pStyle w:val="Corpsdetexte"/>
      </w:pPr>
      <w:r>
        <w:t xml:space="preserve">Recrutement d’un volontaire territorial en administration : Non</w:t>
      </w:r>
    </w:p>
    <w:p>
      <w:pPr>
        <w:pStyle w:val="Corpsdetexte"/>
      </w:pPr>
      <w:r>
        <w:t xml:space="preserve">Mobilisation de l’ingénierie locale : None</w:t>
      </w:r>
    </w:p>
    <w:p>
      <w:pPr>
        <w:pStyle w:val="Corpsdetexte"/>
      </w:pPr>
      <w:r>
        <w:t xml:space="preserve">Mobilisation d’une ingénierie externe :</w:t>
      </w:r>
    </w:p>
    <w:p>
      <w:pPr>
        <w:numPr>
          <w:ilvl w:val="0"/>
          <w:numId w:val="1008"/>
        </w:numPr>
        <w:pStyle w:val="Compact"/>
      </w:pPr>
      <w:r>
        <w:t xml:space="preserve">CEREMA</w:t>
      </w:r>
    </w:p>
    <w:p>
      <w:pPr>
        <w:pStyle w:val="FirstParagraph"/>
      </w:pPr>
      <w:r>
        <w:t xml:space="preserve">Existence d’une maquette financière annexée (ou d’un état récapitulatif des différents financements) au jour de la signature du contrat : Oui</w:t>
      </w:r>
    </w:p>
    <w:p>
      <w:pPr>
        <w:pStyle w:val="Corpsdetexte"/>
      </w:pPr>
      <w:r>
        <w:t xml:space="preserve">Montant total prévisionnel en euros des actions en dépenses de fonctionnement : 0€</w:t>
      </w:r>
    </w:p>
    <w:p>
      <w:pPr>
        <w:pStyle w:val="Corpsdetexte"/>
      </w:pPr>
      <w:r>
        <w:t xml:space="preserve">Montant total prévisionnel en euros des actions en dépenses d’investissement : 26.00M€</w:t>
      </w:r>
    </w:p>
    <w:p>
      <w:pPr>
        <w:pStyle w:val="Corpsdetexte"/>
      </w:pPr>
      <w:r>
        <w:t xml:space="preserve">Montant total en euros des engagements financiers des collectivités locales et leurs établissements publics : 0€</w:t>
      </w:r>
    </w:p>
    <w:p>
      <w:pPr>
        <w:pStyle w:val="Corpsdetexte"/>
      </w:pPr>
      <w:r>
        <w:t xml:space="preserve">Montant total en euros des engagements financiers de l’Etat et de ses opérateurs Plan de relance : 0€</w:t>
      </w:r>
    </w:p>
    <w:p>
      <w:pPr>
        <w:pStyle w:val="Corpsdetexte"/>
      </w:pPr>
      <w:r>
        <w:t xml:space="preserve">Montant total en euros des engagements financiers de l’Etat et de ses opérateurs hors plan de relance : 10.00M€</w:t>
      </w:r>
    </w:p>
    <w:p>
      <w:pPr>
        <w:pStyle w:val="Corpsdetexte"/>
      </w:pPr>
      <w:r>
        <w:t xml:space="preserve">Montant total prévisionnel en euros des cofinancements européens : 0,1€</w:t>
      </w:r>
    </w:p>
    <w:p>
      <w:pPr>
        <w:pStyle w:val="Corpsdetexte"/>
      </w:pPr>
      <w:r>
        <w:t xml:space="preserve">Montant total prévisionnel en euros des cofinancements privés : 0€</w:t>
      </w:r>
    </w:p>
    <w:p>
      <w:pPr>
        <w:pStyle w:val="Corpsdetexte"/>
      </w:pPr>
      <w:r>
        <w:t xml:space="preserve">Montant en euros des engagements financiers de la Banque des territoires : 0 €</w:t>
      </w:r>
    </w:p>
    <w:sectPr w:rsidR="0021629A">
      <w:headerReference w:type="first" r:id="rId9"/>
      <w:footerReference w:type="first" r:id="rId10"/>
      <w:pgSz w:w="12240" w:h="15840"/>
      <w:pgMar w:top="2220" w:right="1440" w:bottom="1440" w:left="1440" w:header="1440" w:footer="0" w:gutter="0"/>
      <w:cols w:space="720"/>
      <w:formProt w:val="0"/>
      <w:titlePg/>
      <w:docGrid w:linePitch="10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beration Sans">
    <w:altName w:val="Arial"/>
    <w:charset w:val="01"/>
    <w:family w:val="swiss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300A5" w14:textId="21BC90C9" w:rsidR="00861A19" w:rsidRDefault="00861A19">
    <w:pPr>
      <w:pStyle w:val="Pieddepage"/>
    </w:pPr>
    <w:r w:rsidRPr="00070A18">
      <w:rPr>
        <w:noProof/>
        <w:color w:val="293173"/>
        <w:spacing w:val="40"/>
        <w:sz w:val="14"/>
        <w:lang w:val="fr-FR" w:eastAsia="fr-FR"/>
      </w:rPr>
      <w:drawing>
        <wp:anchor distT="0" distB="0" distL="114300" distR="114300" simplePos="0" relativeHeight="251664384" behindDoc="1" locked="0" layoutInCell="1" allowOverlap="1" wp14:anchorId="5A0B3680" wp14:editId="2D9B85A0">
          <wp:simplePos x="0" y="0"/>
          <wp:positionH relativeFrom="column">
            <wp:posOffset>-600075</wp:posOffset>
          </wp:positionH>
          <wp:positionV relativeFrom="paragraph">
            <wp:posOffset>-285750</wp:posOffset>
          </wp:positionV>
          <wp:extent cx="339725" cy="332740"/>
          <wp:effectExtent l="0" t="0" r="0" b="0"/>
          <wp:wrapNone/>
          <wp:docPr id="10" name="Imag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in-bas-gauch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9725" cy="332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A0569" w14:textId="1D936546" w:rsidR="0021629A" w:rsidRDefault="00861A19">
    <w:pPr>
      <w:pStyle w:val="En-tte"/>
    </w:pPr>
    <w:r>
      <w:rPr>
        <w:noProof/>
        <w:lang w:val="fr-FR" w:eastAsia="fr-FR"/>
      </w:rPr>
      <w:drawing>
        <wp:anchor distT="0" distB="0" distL="114300" distR="114300" simplePos="0" relativeHeight="251657216" behindDoc="1" locked="0" layoutInCell="1" allowOverlap="1" wp14:anchorId="009948CB" wp14:editId="173BB1AA">
          <wp:simplePos x="0" y="0"/>
          <wp:positionH relativeFrom="column">
            <wp:posOffset>19050</wp:posOffset>
          </wp:positionH>
          <wp:positionV relativeFrom="paragraph">
            <wp:posOffset>-675640</wp:posOffset>
          </wp:positionV>
          <wp:extent cx="1152525" cy="952500"/>
          <wp:effectExtent l="0" t="0" r="0" b="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chier 3@4x-8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952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FR" w:eastAsia="fr-FR"/>
      </w:rPr>
      <w:drawing>
        <wp:anchor distT="0" distB="0" distL="114300" distR="114300" simplePos="0" relativeHeight="251663360" behindDoc="0" locked="0" layoutInCell="1" allowOverlap="1" wp14:anchorId="55A82ABC" wp14:editId="3AA0EE7E">
          <wp:simplePos x="0" y="0"/>
          <wp:positionH relativeFrom="margin">
            <wp:posOffset>4162425</wp:posOffset>
          </wp:positionH>
          <wp:positionV relativeFrom="margin">
            <wp:posOffset>-828675</wp:posOffset>
          </wp:positionV>
          <wp:extent cx="1898650" cy="704850"/>
          <wp:effectExtent l="0" t="0" r="0" b="0"/>
          <wp:wrapSquare wrapText="bothSides"/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chier 1@4x-8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86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>
  <w:abstractNum w:abstractNumId="990">
    <w:nsid w:val="2c1ae401"/>
    <w:multiLevelType w:val="multilevel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 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 "/>
      <w:lvlJc w:val="left"/>
      <w:pPr>
        <w:tabs>
          <w:tab w:val="num" w:pos="5760"/>
        </w:tabs>
        <w:ind w:left="6240" w:hanging="480"/>
      </w:pPr>
    </w:lvl>
  </w:abstractNum>
  <w:abstractNum w:abstractNumId="991">
    <w:nsid w:val="ea454b4c"/>
    <w:multiLevelType w:val="multilevel"/>
    <w:lvl w:ilvl="0">
      <w:numFmt w:val="bullet"/>
      <w:lvlText w:val="•"/>
      <w:lvlJc w:val="left"/>
      <w:pPr>
        <w:tabs>
          <w:tab w:val="num" w:pos="0"/>
        </w:tabs>
        <w:ind w:left="480" w:hanging="480"/>
      </w:pPr>
    </w:lvl>
    <w:lvl w:ilvl="1">
      <w:numFmt w:val="bullet"/>
      <w:lvlText w:val="–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•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–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•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–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•"/>
      <w:lvlJc w:val="left"/>
      <w:pPr>
        <w:tabs>
          <w:tab w:val="num" w:pos="4320"/>
        </w:tabs>
        <w:ind w:left="4800" w:hanging="480"/>
      </w:pPr>
    </w:lvl>
    <w:lvl w:ilvl="7">
      <w:numFmt w:val="bullet"/>
      <w:lvlText w:val="–"/>
      <w:lvlJc w:val="left"/>
      <w:pPr>
        <w:tabs>
          <w:tab w:val="num" w:pos="5040"/>
        </w:tabs>
        <w:ind w:left="5520" w:hanging="480"/>
      </w:pPr>
    </w:lvl>
    <w:lvl w:ilvl="8">
      <w:numFmt w:val="bullet"/>
      <w:lvlText w:val="•"/>
      <w:lvlJc w:val="left"/>
      <w:pPr>
        <w:tabs>
          <w:tab w:val="num" w:pos="5760"/>
        </w:tabs>
        <w:ind w:left="6240" w:hanging="480"/>
      </w:pPr>
    </w:lvl>
  </w:abstractNum>
  <w:num w:numId="1000">
    <w:abstractNumId w:val="990"/>
  </w:num>
  <w:num w:numId="1001">
    <w:abstractNumId w:val="991"/>
  </w:num>
  <w:num w:numId="1002">
    <w:abstractNumId w:val="991"/>
  </w:num>
  <w:num w:numId="1003">
    <w:abstractNumId w:val="991"/>
  </w:num>
  <w:num w:numId="1004">
    <w:abstractNumId w:val="991"/>
  </w:num>
  <w:num w:numId="1005">
    <w:abstractNumId w:val="991"/>
  </w:num>
  <w:num w:numId="1006">
    <w:abstractNumId w:val="991"/>
  </w:num>
  <w:num w:numId="1007">
    <w:abstractNumId w:val="991"/>
  </w:num>
  <w:num w:numId="1008">
    <w:abstractNumId w:val="99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0004"/>
  <w:footnotePr>
    <w:footnote w:id="-1"/>
    <w:footnote w:id="0"/>
  </w:footnotePr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  <w:rsidRoot w:val="00590D07"/>
    <w:rsid w:val="00011C8B"/>
    <w:rsid w:val="004E29B3"/>
    <w:rsid w:val="00590D07"/>
    <w:rsid w:val="00784D58"/>
    <w:rsid w:val="008D6863"/>
    <w:rsid w:val="00B86B75"/>
    <w:rsid w:val="00BC48D5"/>
    <w:rsid w:val="00C36279"/>
    <w:rsid w:val="00E315A3"/>
  </w:rsids>
  <m:mathPr>
    <m:mathFont m:val="Lucida Grande"/>
    <m:brkBin m:val="before"/>
    <m:brkBinSub m:val="--"/>
    <m:smallFrac m:val="false"/>
    <m:dispDef m:val="false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:proofState w:spelling="clean" w:grammar="clean"/>
  <w:autoHyphenation/>
  <w:hyphenationZone w:val="4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200"/>
    </w:pPr>
    <w:rPr>
      <w:rFonts w:ascii="Marianne" w:hAnsi="Marianne"/>
    </w:rPr>
  </w:style>
  <w:style w:type="paragraph" w:styleId="Titre1">
    <w:name w:val="heading 1"/>
    <w:basedOn w:val="Normal"/>
    <w:next w:val="Corpsdetexte"/>
    <w:uiPriority w:val="9"/>
    <w:qFormat/>
    <w:rsid w:val="00861A1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313778"/>
      <w:sz w:val="36"/>
      <w:szCs w:val="32"/>
    </w:rPr>
  </w:style>
  <w:style w:type="paragraph" w:styleId="Titre2">
    <w:name w:val="heading 2"/>
    <w:basedOn w:val="Normal"/>
    <w:next w:val="Corpsdetexte"/>
    <w:uiPriority w:val="9"/>
    <w:unhideWhenUsed/>
    <w:qFormat/>
    <w:rsid w:val="001779FD"/>
    <w:pPr>
      <w:keepNext/>
      <w:keepLines/>
      <w:spacing w:before="200" w:after="0"/>
      <w:outlineLvl w:val="1"/>
    </w:pPr>
    <w:rPr>
      <w:rFonts w:eastAsiaTheme="majorEastAsia" w:cstheme="majorBidi"/>
      <w:b/>
      <w:bCs/>
      <w:color w:val="313778"/>
      <w:sz w:val="28"/>
      <w:szCs w:val="28"/>
    </w:rPr>
  </w:style>
  <w:style w:type="paragraph" w:styleId="Titre3">
    <w:name w:val="heading 3"/>
    <w:basedOn w:val="Normal"/>
    <w:next w:val="Corpsdetexte"/>
    <w:uiPriority w:val="9"/>
    <w:unhideWhenUsed/>
    <w:qFormat/>
    <w:rsid w:val="001C551A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64A898"/>
      <w:sz w:val="26"/>
    </w:rPr>
  </w:style>
  <w:style w:type="paragraph" w:styleId="Titre4">
    <w:name w:val="heading 4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3"/>
    </w:pPr>
    <w:rPr>
      <w:rFonts w:eastAsiaTheme="majorEastAsia" w:cstheme="majorBidi"/>
      <w:bCs/>
      <w:color w:val="616DAF"/>
    </w:rPr>
  </w:style>
  <w:style w:type="paragraph" w:styleId="Titre5">
    <w:name w:val="heading 5"/>
    <w:basedOn w:val="Normal"/>
    <w:next w:val="Corpsdetexte"/>
    <w:uiPriority w:val="9"/>
    <w:unhideWhenUsed/>
    <w:qFormat/>
    <w:rsid w:val="00545F31"/>
    <w:pPr>
      <w:keepNext/>
      <w:keepLines/>
      <w:spacing w:before="200" w:after="0"/>
      <w:outlineLvl w:val="4"/>
    </w:pPr>
    <w:rPr>
      <w:rFonts w:eastAsiaTheme="majorEastAsia" w:cstheme="majorBidi"/>
      <w:iCs/>
      <w:color w:val="616DAF"/>
    </w:rPr>
  </w:style>
  <w:style w:type="paragraph" w:styleId="Titre6">
    <w:name w:val="heading 6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5"/>
    </w:pPr>
    <w:rPr>
      <w:rFonts w:eastAsiaTheme="majorEastAsia" w:cstheme="majorBidi"/>
      <w:color w:val="616DAF"/>
    </w:rPr>
  </w:style>
  <w:style w:type="paragraph" w:styleId="Titre7">
    <w:name w:val="heading 7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6"/>
    </w:pPr>
    <w:rPr>
      <w:rFonts w:eastAsiaTheme="majorEastAsia" w:cstheme="majorBidi"/>
      <w:color w:val="616DAF"/>
    </w:rPr>
  </w:style>
  <w:style w:type="paragraph" w:styleId="Titre8">
    <w:name w:val="heading 8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7"/>
    </w:pPr>
    <w:rPr>
      <w:rFonts w:eastAsiaTheme="majorEastAsia" w:cstheme="majorBidi"/>
      <w:color w:val="616DAF"/>
    </w:rPr>
  </w:style>
  <w:style w:type="paragraph" w:styleId="Titre9">
    <w:name w:val="heading 9"/>
    <w:basedOn w:val="Normal"/>
    <w:next w:val="Corpsdetexte"/>
    <w:uiPriority w:val="9"/>
    <w:unhideWhenUsed/>
    <w:qFormat/>
    <w:rsid w:val="009E5DB7"/>
    <w:pPr>
      <w:keepNext/>
      <w:keepLines/>
      <w:spacing w:before="200" w:after="0"/>
      <w:outlineLvl w:val="8"/>
    </w:pPr>
    <w:rPr>
      <w:rFonts w:eastAsiaTheme="majorEastAsia" w:cstheme="majorBidi"/>
      <w:color w:val="616DA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gendeCar">
    <w:name w:val="Légende Car"/>
    <w:basedOn w:val="Policepardfaut"/>
    <w:link w:val="Lgende"/>
    <w:qFormat/>
  </w:style>
  <w:style w:type="character" w:customStyle="1" w:styleId="VerbatimChar">
    <w:name w:val="Verbatim Char"/>
    <w:basedOn w:val="LgendeCar"/>
    <w:qFormat/>
    <w:rPr>
      <w:rFonts w:ascii="Consolas" w:hAnsi="Consolas"/>
      <w:sz w:val="22"/>
    </w:rPr>
  </w:style>
  <w:style w:type="character" w:customStyle="1" w:styleId="FootnoteCharacters">
    <w:name w:val="Footnote Characters"/>
    <w:basedOn w:val="LgendeCar"/>
    <w:qFormat/>
    <w:rPr>
      <w:vertAlign w:val="superscript"/>
    </w:rPr>
  </w:style>
  <w:style w:type="character" w:customStyle="1" w:styleId="FootnoteAnchor">
    <w:name w:val="Footnote Anchor"/>
    <w:rPr>
      <w:vertAlign w:val="superscript"/>
    </w:rPr>
  </w:style>
  <w:style w:type="character" w:styleId="Lienhypertexte">
    <w:name w:val="Hyperlink"/>
    <w:basedOn w:val="LgendeCar"/>
    <w:rPr>
      <w:color w:val="4F81BD" w:themeColor="accent1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al"/>
    <w:next w:val="Corpsdetexte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sdetexte">
    <w:name w:val="Body Text"/>
    <w:basedOn w:val="Normal"/>
    <w:qFormat/>
    <w:pPr>
      <w:spacing w:before="180" w:after="180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link w:val="LgendeCar"/>
    <w:qFormat/>
    <w:pPr>
      <w:spacing w:after="120"/>
    </w:pPr>
    <w:rPr>
      <w:i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  <w:lang/>
    </w:rPr>
  </w:style>
  <w:style w:type="paragraph" w:customStyle="1" w:styleId="FirstParagraph">
    <w:name w:val="First Paragraph"/>
    <w:basedOn w:val="Corpsdetexte"/>
    <w:next w:val="Corpsdetexte"/>
    <w:qFormat/>
  </w:style>
  <w:style w:type="paragraph" w:customStyle="1" w:styleId="Compact">
    <w:name w:val="Compact"/>
    <w:basedOn w:val="Corpsdetexte"/>
    <w:qFormat/>
    <w:pPr>
      <w:spacing w:before="36" w:after="36"/>
    </w:pPr>
  </w:style>
  <w:style w:type="paragraph" w:styleId="Titre">
    <w:name w:val="Title"/>
    <w:basedOn w:val="Normal"/>
    <w:next w:val="Corpsdetexte"/>
    <w:qFormat/>
    <w:rsid w:val="009E5DB7"/>
    <w:pPr>
      <w:keepNext/>
      <w:keepLines/>
      <w:spacing w:before="480" w:after="240"/>
      <w:jc w:val="center"/>
    </w:pPr>
    <w:rPr>
      <w:rFonts w:eastAsiaTheme="majorEastAsia" w:cstheme="majorBidi"/>
      <w:b/>
      <w:bCs/>
      <w:color w:val="616DAF"/>
      <w:sz w:val="36"/>
      <w:szCs w:val="36"/>
    </w:rPr>
  </w:style>
  <w:style w:type="paragraph" w:styleId="Sous-titre">
    <w:name w:val="Subtitle"/>
    <w:basedOn w:val="Titre"/>
    <w:next w:val="Corpsdetexte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styleId="Date">
    <w:name w:val="Date"/>
    <w:next w:val="Corpsdetexte"/>
    <w:qFormat/>
    <w:pPr>
      <w:keepNext/>
      <w:keepLines/>
      <w:spacing w:after="200"/>
      <w:jc w:val="center"/>
    </w:pPr>
    <w:rPr>
      <w:rFonts w:ascii="Marianne" w:hAnsi="Marianne"/>
    </w:rPr>
  </w:style>
  <w:style w:type="paragraph" w:customStyle="1" w:styleId="Abstract">
    <w:name w:val="Abstract"/>
    <w:basedOn w:val="Normal"/>
    <w:next w:val="Corpsdetexte"/>
    <w:qFormat/>
    <w:pPr>
      <w:keepNext/>
      <w:keepLines/>
      <w:spacing w:before="300" w:after="300"/>
    </w:pPr>
    <w:rPr>
      <w:sz w:val="20"/>
      <w:szCs w:val="20"/>
    </w:rPr>
  </w:style>
  <w:style w:type="paragraph" w:styleId="Bibliographie">
    <w:name w:val="Bibliography"/>
    <w:basedOn w:val="Normal"/>
    <w:qFormat/>
  </w:style>
  <w:style w:type="paragraph" w:styleId="Normalcentr">
    <w:name w:val="Block Text"/>
    <w:basedOn w:val="Corpsdetexte"/>
    <w:next w:val="Corpsdetexte"/>
    <w:uiPriority w:val="9"/>
    <w:unhideWhenUsed/>
    <w:qFormat/>
    <w:pPr>
      <w:spacing w:before="100" w:after="100"/>
      <w:ind w:left="480" w:right="480"/>
    </w:pPr>
  </w:style>
  <w:style w:type="paragraph" w:styleId="Notedebasdepage">
    <w:name w:val="footnote text"/>
    <w:basedOn w:val="Normal"/>
    <w:uiPriority w:val="9"/>
    <w:unhideWhenUsed/>
    <w:qFormat/>
  </w:style>
  <w:style w:type="paragraph" w:customStyle="1" w:styleId="DefinitionTerm">
    <w:name w:val="Definition Term"/>
    <w:basedOn w:val="Normal"/>
    <w:next w:val="Definition"/>
    <w:qFormat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  <w:qFormat/>
  </w:style>
  <w:style w:type="paragraph" w:customStyle="1" w:styleId="TableCaption">
    <w:name w:val="Table Caption"/>
    <w:basedOn w:val="Lgende"/>
    <w:qFormat/>
    <w:pPr>
      <w:keepNext/>
    </w:pPr>
  </w:style>
  <w:style w:type="paragraph" w:customStyle="1" w:styleId="ImageCaption">
    <w:name w:val="Image Caption"/>
    <w:basedOn w:val="Lgende"/>
    <w:qFormat/>
  </w:style>
  <w:style w:type="paragraph" w:customStyle="1" w:styleId="Figure">
    <w:name w:val="Figure"/>
    <w:basedOn w:val="Normal"/>
    <w:qFormat/>
  </w:style>
  <w:style w:type="paragraph" w:customStyle="1" w:styleId="CaptionedFigure">
    <w:name w:val="Captioned Figure"/>
    <w:basedOn w:val="Figure"/>
    <w:qFormat/>
    <w:pPr>
      <w:keepNext/>
    </w:pPr>
  </w:style>
  <w:style w:type="paragraph" w:styleId="En-ttedetabledesmatires">
    <w:name w:val="TOC Heading"/>
    <w:basedOn w:val="Titre1"/>
    <w:next w:val="Corpsdetexte"/>
    <w:uiPriority w:val="39"/>
    <w:unhideWhenUsed/>
    <w:qFormat/>
    <w:rsid w:val="009E5DB7"/>
    <w:pPr>
      <w:spacing w:before="240" w:line="259" w:lineRule="auto"/>
      <w:outlineLvl w:val="9"/>
    </w:pPr>
    <w:rPr>
      <w:rFonts w:asciiTheme="majorHAnsi" w:hAnsiTheme="majorHAnsi"/>
      <w:b w:val="0"/>
      <w:bCs w:val="0"/>
    </w:rPr>
  </w:style>
  <w:style w:type="paragraph" w:styleId="Adresseexpditeur">
    <w:name w:val="envelope return"/>
    <w:basedOn w:val="Normal"/>
    <w:pPr>
      <w:suppressLineNumbers/>
      <w:spacing w:after="60"/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680"/>
        <w:tab w:val="right" w:pos="9360"/>
      </w:tabs>
    </w:pPr>
  </w:style>
  <w:style w:type="paragraph" w:styleId="En-tte">
    <w:name w:val="header"/>
    <w:basedOn w:val="HeaderandFooter"/>
  </w:style>
  <w:style w:type="table" w:customStyle="1" w:styleId="Table">
    <w:name w:val="Table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Pieddepage">
    <w:name w:val="footer"/>
    <w:basedOn w:val="Normal"/>
    <w:link w:val="PieddepageCar"/>
    <w:unhideWhenUsed/>
    <w:rsid w:val="00B04DF0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rsid w:val="00B04DF0"/>
    <w:rPr>
      <w:rFonts w:ascii="Marianne" w:hAnsi="Marianne"/>
    </w:rPr>
  </w:style>
  <w:style w:type="paragraph" w:customStyle="1" w:styleId="SourceCode">
    <w:name w:val="Source Code"/>
    <w:basedOn w:val="Normal"/>
    <w:link w:val="VerbatimChar"/>
    <w:pPr>
      <w:wordWrap w:val="off"/>
    </w:pPr>
  </w:style>
  <w:style w:type="character" w:customStyle="1" w:styleId="KeywordTok">
    <w:name w:val="KeywordTok"/>
    <w:basedOn w:val="VerbatimChar"/>
    <w:rPr>
      <w:color w:val="007020"/>
      <w:b/>
    </w:rPr>
  </w:style>
  <w:style w:type="character" w:customStyle="1" w:styleId="DataTypeTok">
    <w:name w:val="DataTypeTok"/>
    <w:basedOn w:val="VerbatimChar"/>
    <w:rPr>
      <w:color w:val="902000"/>
    </w:rPr>
  </w:style>
  <w:style w:type="character" w:customStyle="1" w:styleId="DecValTok">
    <w:name w:val="DecValTok"/>
    <w:basedOn w:val="VerbatimChar"/>
    <w:rPr>
      <w:color w:val="40a070"/>
    </w:rPr>
  </w:style>
  <w:style w:type="character" w:customStyle="1" w:styleId="BaseNTok">
    <w:name w:val="BaseNTok"/>
    <w:basedOn w:val="VerbatimChar"/>
    <w:rPr>
      <w:color w:val="40a070"/>
    </w:rPr>
  </w:style>
  <w:style w:type="character" w:customStyle="1" w:styleId="FloatTok">
    <w:name w:val="FloatTok"/>
    <w:basedOn w:val="VerbatimChar"/>
    <w:rPr>
      <w:color w:val="40a070"/>
    </w:rPr>
  </w:style>
  <w:style w:type="character" w:customStyle="1" w:styleId="ConstantTok">
    <w:name w:val="ConstantTok"/>
    <w:basedOn w:val="VerbatimChar"/>
    <w:rPr>
      <w:color w:val="880000"/>
    </w:rPr>
  </w:style>
  <w:style w:type="character" w:customStyle="1" w:styleId="CharTok">
    <w:name w:val="CharTok"/>
    <w:basedOn w:val="VerbatimChar"/>
    <w:rPr>
      <w:color w:val="4070a0"/>
    </w:rPr>
  </w:style>
  <w:style w:type="character" w:customStyle="1" w:styleId="SpecialCharTok">
    <w:name w:val="SpecialCharTok"/>
    <w:basedOn w:val="VerbatimChar"/>
    <w:rPr>
      <w:color w:val="4070a0"/>
    </w:rPr>
  </w:style>
  <w:style w:type="character" w:customStyle="1" w:styleId="StringTok">
    <w:name w:val="StringTok"/>
    <w:basedOn w:val="VerbatimChar"/>
    <w:rPr>
      <w:color w:val="4070a0"/>
    </w:rPr>
  </w:style>
  <w:style w:type="character" w:customStyle="1" w:styleId="VerbatimStringTok">
    <w:name w:val="VerbatimStringTok"/>
    <w:basedOn w:val="VerbatimChar"/>
    <w:rPr>
      <w:color w:val="4070a0"/>
    </w:rPr>
  </w:style>
  <w:style w:type="character" w:customStyle="1" w:styleId="SpecialStringTok">
    <w:name w:val="SpecialStringTok"/>
    <w:basedOn w:val="VerbatimChar"/>
    <w:rPr>
      <w:color w:val="bb6688"/>
    </w:rPr>
  </w:style>
  <w:style w:type="character" w:customStyle="1" w:styleId="ImportTok">
    <w:name w:val="ImportTok"/>
    <w:basedOn w:val="VerbatimChar"/>
    <w:rPr/>
  </w:style>
  <w:style w:type="character" w:customStyle="1" w:styleId="CommentTok">
    <w:name w:val="CommentTok"/>
    <w:basedOn w:val="VerbatimChar"/>
    <w:rPr>
      <w:color w:val="60a0b0"/>
      <w:i/>
    </w:rPr>
  </w:style>
  <w:style w:type="character" w:customStyle="1" w:styleId="DocumentationTok">
    <w:name w:val="DocumentationTok"/>
    <w:basedOn w:val="VerbatimChar"/>
    <w:rPr>
      <w:color w:val="ba2121"/>
      <w:i/>
    </w:rPr>
  </w:style>
  <w:style w:type="character" w:customStyle="1" w:styleId="AnnotationTok">
    <w:name w:val="AnnotationTok"/>
    <w:basedOn w:val="VerbatimChar"/>
    <w:rPr>
      <w:color w:val="60a0b0"/>
      <w:b/>
      <w:i/>
    </w:rPr>
  </w:style>
  <w:style w:type="character" w:customStyle="1" w:styleId="CommentVarTok">
    <w:name w:val="CommentVarTok"/>
    <w:basedOn w:val="VerbatimChar"/>
    <w:rPr>
      <w:color w:val="60a0b0"/>
      <w:b/>
      <w:i/>
    </w:rPr>
  </w:style>
  <w:style w:type="character" w:customStyle="1" w:styleId="OtherTok">
    <w:name w:val="OtherTok"/>
    <w:basedOn w:val="VerbatimChar"/>
    <w:rPr>
      <w:color w:val="007020"/>
    </w:rPr>
  </w:style>
  <w:style w:type="character" w:customStyle="1" w:styleId="FunctionTok">
    <w:name w:val="FunctionTok"/>
    <w:basedOn w:val="VerbatimChar"/>
    <w:rPr>
      <w:color w:val="06287e"/>
    </w:rPr>
  </w:style>
  <w:style w:type="character" w:customStyle="1" w:styleId="VariableTok">
    <w:name w:val="VariableTok"/>
    <w:basedOn w:val="VerbatimChar"/>
    <w:rPr>
      <w:color w:val="19177c"/>
    </w:rPr>
  </w:style>
  <w:style w:type="character" w:customStyle="1" w:styleId="ControlFlowTok">
    <w:name w:val="ControlFlowTok"/>
    <w:basedOn w:val="VerbatimChar"/>
    <w:rPr>
      <w:color w:val="007020"/>
      <w:b/>
    </w:rPr>
  </w:style>
  <w:style w:type="character" w:customStyle="1" w:styleId="OperatorTok">
    <w:name w:val="OperatorTok"/>
    <w:basedOn w:val="VerbatimChar"/>
    <w:rPr>
      <w:color w:val="666666"/>
    </w:rPr>
  </w:style>
  <w:style w:type="character" w:customStyle="1" w:styleId="BuiltInTok">
    <w:name w:val="BuiltInTok"/>
    <w:basedOn w:val="VerbatimChar"/>
    <w:rPr/>
  </w:style>
  <w:style w:type="character" w:customStyle="1" w:styleId="ExtensionTok">
    <w:name w:val="ExtensionTok"/>
    <w:basedOn w:val="VerbatimChar"/>
    <w:rPr/>
  </w:style>
  <w:style w:type="character" w:customStyle="1" w:styleId="PreprocessorTok">
    <w:name w:val="PreprocessorTok"/>
    <w:basedOn w:val="VerbatimChar"/>
    <w:rPr>
      <w:color w:val="bc7a00"/>
    </w:rPr>
  </w:style>
  <w:style w:type="character" w:customStyle="1" w:styleId="AttributeTok">
    <w:name w:val="AttributeTok"/>
    <w:basedOn w:val="VerbatimChar"/>
    <w:rPr>
      <w:color w:val="7d9029"/>
    </w:rPr>
  </w:style>
  <w:style w:type="character" w:customStyle="1" w:styleId="RegionMarkerTok">
    <w:name w:val="RegionMarkerTok"/>
    <w:basedOn w:val="VerbatimChar"/>
    <w:rPr/>
  </w:style>
  <w:style w:type="character" w:customStyle="1" w:styleId="InformationTok">
    <w:name w:val="InformationTok"/>
    <w:basedOn w:val="VerbatimChar"/>
    <w:rPr>
      <w:color w:val="60a0b0"/>
      <w:b/>
      <w:i/>
    </w:rPr>
  </w:style>
  <w:style w:type="character" w:customStyle="1" w:styleId="WarningTok">
    <w:name w:val="WarningTok"/>
    <w:basedOn w:val="VerbatimChar"/>
    <w:rPr>
      <w:color w:val="60a0b0"/>
      <w:b/>
      <w:i/>
    </w:rPr>
  </w:style>
  <w:style w:type="character" w:customStyle="1" w:styleId="AlertTok">
    <w:name w:val="AlertTok"/>
    <w:basedOn w:val="VerbatimChar"/>
    <w:rPr>
      <w:color w:val="ff0000"/>
      <w:b/>
    </w:rPr>
  </w:style>
  <w:style w:type="character" w:customStyle="1" w:styleId="ErrorTok">
    <w:name w:val="ErrorTok"/>
    <w:basedOn w:val="VerbatimChar"/>
    <w:rPr>
      <w:color w:val="ff0000"/>
      <w:b/>
    </w:rPr>
  </w:style>
  <w:style w:type="character" w:customStyle="1" w:styleId="NormalTok">
    <w:name w:val="NormalTok"/>
    <w:basedOn w:val="VerbatimChar"/>
    <w:r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?>
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notes.xml.rels><?xml version="1.0" encoding="UTF-8"?>
<Relationships xmlns="http://schemas.openxmlformats.org/package/2006/relationships" /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65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Title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2023-04-12T16:33:06Z</dcterms:created>
  <dcterms:modified xsi:type="dcterms:W3CDTF">2023-04-12T16:33:06Z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