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Honfleur Beuzeville</w:t>
      </w:r>
    </w:p>
    <w:p>
      <w:pPr>
        <w:pStyle w:val="Corpsdetexte"/>
      </w:pPr>
      <w:r>
        <w:t xml:space="preserve">Si protocole de préfiguration : date de signature : 2021-01-13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Honfleur-Beuzeville, SIREN : 200066827,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Préserver la place des habitants et l’âme du territoire en régulant les flux touristiques</w:t>
      </w:r>
    </w:p>
    <w:p>
      <w:pPr>
        <w:numPr>
          <w:ilvl w:val="0"/>
          <w:numId w:val="1005"/>
        </w:numPr>
        <w:pStyle w:val="Compact"/>
      </w:pPr>
      <w:r>
        <w:t xml:space="preserve">Transition économique : Préserver, défendre et développer la place de l’emploi, et développer l’emploi des jeunes localement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Transition numérique : développer la couverture très haut débit et les usages numériques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Honfleur-Beuzeville, SIREN : 200066827,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345 000€</w:t>
      </w:r>
    </w:p>
    <w:p>
      <w:pPr>
        <w:pStyle w:val="Corpsdetexte"/>
      </w:pPr>
      <w:r>
        <w:t xml:space="preserve">Montant total prévisionnel en euros des actions en dépenses d’investissement : 55.36M€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618 536€</w:t>
      </w:r>
    </w:p>
    <w:p>
      <w:pPr>
        <w:pStyle w:val="Corpsdetexte"/>
      </w:pPr>
      <w:r>
        <w:t xml:space="preserve">Montant total en euros des engagements financiers de l’Etat et de ses opérateurs hors plan de relance : 463 081€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2023-04-12T16:31:33Z</dcterms:created>
  <dcterms:modified xsi:type="dcterms:W3CDTF">2023-04-12T16:31:33Z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