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d’Ardenne Rives de Meuse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nom : CC Ardenne, Rives de Meuse, SIREN : 240800821,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questions environnementales</w:t>
      </w:r>
    </w:p>
    <w:p>
      <w:pPr>
        <w:numPr>
          <w:ilvl w:val="0"/>
          <w:numId w:val="1005"/>
        </w:numPr>
        <w:pStyle w:val="Compact"/>
      </w:pPr>
      <w:r>
        <w:t xml:space="preserve">Cohésion sociale et valeurs de la république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Ardenne, Rives de Meuse, SIREN : 240800821,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2023-04-12T16:31:35Z</dcterms:created>
  <dcterms:modified xsi:type="dcterms:W3CDTF">2023-04-12T16:31:35Z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