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violaine.demaret@alpes-de-haute-provence.gouv.fr</w:t>
      </w:r>
    </w:p>
    <w:p>
      <w:pPr>
        <w:pStyle w:val="Corpsdetexte"/>
      </w:pPr>
      <w:r>
        <w:t xml:space="preserve">Date de signature du CRTE : 28 mars 2022</w:t>
      </w:r>
    </w:p>
    <w:p>
      <w:pPr>
        <w:pStyle w:val="Corpsdetexte"/>
      </w:pPr>
      <w:r>
        <w:t xml:space="preserve">Nature juridique de la structure porteuse : Communauté de communes</w:t>
      </w:r>
    </w:p>
    <w:p>
      <w:pPr>
        <w:pStyle w:val="Corpsdetexte"/>
      </w:pPr>
      <w:r>
        <w:t xml:space="preserve">Nom de la structure porteuse : CC Pays de Forcalquier Montagne de Lure ; CC Haute-Provence Pays de Banon</w:t>
      </w:r>
    </w:p>
    <w:p>
      <w:pPr>
        <w:pStyle w:val="Corpsdetexte"/>
      </w:pPr>
      <w:r>
        <w:t xml:space="preserve">Si protocole de préfiguration : date de signature : 2021-05-29</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Prefecture</w:t>
      </w:r>
    </w:p>
    <w:p>
      <w:pPr>
        <w:numPr>
          <w:ilvl w:val="0"/>
          <w:numId w:val="1001"/>
        </w:numPr>
        <w:pStyle w:val="Compact"/>
      </w:pPr>
      <w:r>
        <w:t xml:space="preserve">nom : CC Pays Forcalquier et Montagne de Lure, SIREN : 240400440, nature : CC</w:t>
      </w:r>
    </w:p>
    <w:p>
      <w:pPr>
        <w:numPr>
          <w:ilvl w:val="0"/>
          <w:numId w:val="1001"/>
        </w:numPr>
        <w:pStyle w:val="Compact"/>
      </w:pPr>
      <w:r>
        <w:t xml:space="preserve">nom : CC Haute-Provence-Pays de Banon, SIREN : 200071025, nature : CC</w:t>
      </w:r>
    </w:p>
    <w:p>
      <w:pPr>
        <w:numPr>
          <w:ilvl w:val="0"/>
          <w:numId w:val="1001"/>
        </w:numPr>
        <w:pStyle w:val="Compact"/>
      </w:pPr>
      <w:r>
        <w:t xml:space="preserve">ANCT</w:t>
      </w:r>
    </w:p>
    <w:p>
      <w:pPr>
        <w:numPr>
          <w:ilvl w:val="0"/>
          <w:numId w:val="1001"/>
        </w:numPr>
        <w:pStyle w:val="Compact"/>
      </w:pPr>
      <w:r>
        <w:t xml:space="preserve">ANAH</w:t>
      </w:r>
    </w:p>
    <w:p>
      <w:pPr>
        <w:numPr>
          <w:ilvl w:val="0"/>
          <w:numId w:val="1001"/>
        </w:numPr>
        <w:pStyle w:val="Compact"/>
      </w:pPr>
      <w:r>
        <w:t xml:space="preserve">Banque des territoires</w:t>
      </w:r>
    </w:p>
    <w:p>
      <w:pPr>
        <w:numPr>
          <w:ilvl w:val="0"/>
          <w:numId w:val="1001"/>
        </w:numPr>
        <w:pStyle w:val="Compact"/>
      </w:pPr>
      <w:r>
        <w:t xml:space="preserve">ADEME</w:t>
      </w:r>
    </w:p>
    <w:p>
      <w:pPr>
        <w:numPr>
          <w:ilvl w:val="0"/>
          <w:numId w:val="1001"/>
        </w:numPr>
        <w:pStyle w:val="Compact"/>
      </w:pPr>
      <w:r>
        <w:t xml:space="preserve">Agence de l’eau</w:t>
      </w:r>
    </w:p>
    <w:p>
      <w:pPr>
        <w:numPr>
          <w:ilvl w:val="0"/>
          <w:numId w:val="1001"/>
        </w:numPr>
        <w:pStyle w:val="Compact"/>
      </w:pPr>
      <w:r>
        <w:t xml:space="preserve">CEREMA</w:t>
      </w:r>
    </w:p>
    <w:p>
      <w:pPr>
        <w:numPr>
          <w:ilvl w:val="0"/>
          <w:numId w:val="1001"/>
        </w:numPr>
        <w:pStyle w:val="Compact"/>
      </w:pPr>
      <w:r>
        <w:t xml:space="preserve">CCI</w:t>
      </w:r>
    </w:p>
    <w:p>
      <w:pPr>
        <w:numPr>
          <w:ilvl w:val="0"/>
          <w:numId w:val="1001"/>
        </w:numPr>
        <w:pStyle w:val="Compact"/>
      </w:pPr>
      <w:r>
        <w:t xml:space="preserve">Chambre des Métiers et de l’Artisanat</w:t>
      </w:r>
    </w:p>
    <w:p>
      <w:pPr>
        <w:numPr>
          <w:ilvl w:val="0"/>
          <w:numId w:val="1001"/>
        </w:numPr>
        <w:pStyle w:val="Compact"/>
      </w:pPr>
      <w:r>
        <w:t xml:space="preserve">Chambre d’agriculture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numPr>
          <w:ilvl w:val="0"/>
          <w:numId w:val="1002"/>
        </w:numPr>
        <w:pStyle w:val="Compact"/>
      </w:pPr>
      <w:r>
        <w:t xml:space="preserve">Contrat d’avenir 2021-2027</w:t>
      </w:r>
    </w:p>
    <w:p>
      <w:pPr>
        <w:numPr>
          <w:ilvl w:val="0"/>
          <w:numId w:val="1002"/>
        </w:numPr>
        <w:pStyle w:val="Compact"/>
      </w:pPr>
      <w:r>
        <w:t xml:space="preserve">CPER</w:t>
      </w:r>
    </w:p>
    <w:p>
      <w:pPr>
        <w:numPr>
          <w:ilvl w:val="0"/>
          <w:numId w:val="1002"/>
        </w:numPr>
        <w:pStyle w:val="Compact"/>
      </w:pPr>
      <w:r>
        <w:t xml:space="preserve">CRET</w:t>
      </w:r>
    </w:p>
    <w:p>
      <w:pPr>
        <w:numPr>
          <w:ilvl w:val="0"/>
          <w:numId w:val="1002"/>
        </w:numPr>
        <w:pStyle w:val="Compact"/>
      </w:pPr>
      <w:r>
        <w:t xml:space="preserve">CDST</w:t>
      </w:r>
    </w:p>
    <w:p>
      <w:pPr>
        <w:numPr>
          <w:ilvl w:val="0"/>
          <w:numId w:val="1002"/>
        </w:numPr>
        <w:pStyle w:val="Compact"/>
      </w:pPr>
      <w:r>
        <w:t xml:space="preserve">OPAH</w:t>
      </w:r>
    </w:p>
    <w:p>
      <w:pPr>
        <w:numPr>
          <w:ilvl w:val="0"/>
          <w:numId w:val="1002"/>
        </w:numPr>
        <w:pStyle w:val="Compact"/>
      </w:pPr>
      <w:r>
        <w:t xml:space="preserve">FEDER</w:t>
      </w:r>
    </w:p>
    <w:p>
      <w:pPr>
        <w:numPr>
          <w:ilvl w:val="0"/>
          <w:numId w:val="1002"/>
        </w:numPr>
        <w:pStyle w:val="Compact"/>
      </w:pPr>
      <w:r>
        <w:t xml:space="preserve">CIMA</w:t>
      </w:r>
    </w:p>
    <w:p>
      <w:pPr>
        <w:numPr>
          <w:ilvl w:val="0"/>
          <w:numId w:val="1002"/>
        </w:numPr>
        <w:pStyle w:val="Compact"/>
      </w:pPr>
      <w:r>
        <w:t xml:space="preserve">POIA</w:t>
      </w:r>
    </w:p>
    <w:p>
      <w:pPr>
        <w:numPr>
          <w:ilvl w:val="0"/>
          <w:numId w:val="1002"/>
        </w:numPr>
        <w:pStyle w:val="Compact"/>
      </w:pPr>
      <w:r>
        <w:t xml:space="preserve">Convention interrégionale du Massif des Alpes</w:t>
      </w:r>
    </w:p>
    <w:p>
      <w:pPr>
        <w:numPr>
          <w:ilvl w:val="0"/>
          <w:numId w:val="1002"/>
        </w:numPr>
        <w:pStyle w:val="Compact"/>
      </w:pPr>
      <w:r>
        <w:t xml:space="preserve">Espaces Valléens</w:t>
      </w:r>
    </w:p>
    <w:p>
      <w:pPr>
        <w:numPr>
          <w:ilvl w:val="0"/>
          <w:numId w:val="1002"/>
        </w:numPr>
        <w:pStyle w:val="Compact"/>
      </w:pPr>
      <w:r>
        <w:t xml:space="preserve">Charte forestière de territoire Montagne de Lure</w:t>
      </w:r>
    </w:p>
    <w:p>
      <w:pPr>
        <w:numPr>
          <w:ilvl w:val="0"/>
          <w:numId w:val="1002"/>
        </w:numPr>
        <w:pStyle w:val="Compact"/>
      </w:pPr>
      <w:r>
        <w:t xml:space="preserve">LEADER</w:t>
      </w:r>
    </w:p>
    <w:p>
      <w:pPr>
        <w:numPr>
          <w:ilvl w:val="0"/>
          <w:numId w:val="1002"/>
        </w:numPr>
        <w:pStyle w:val="Compact"/>
      </w:pPr>
      <w:r>
        <w:t xml:space="preserve">Schéma de développement économique</w:t>
      </w:r>
    </w:p>
    <w:p>
      <w:pPr>
        <w:numPr>
          <w:ilvl w:val="0"/>
          <w:numId w:val="1002"/>
        </w:numPr>
        <w:pStyle w:val="Compact"/>
      </w:pPr>
      <w:r>
        <w:t xml:space="preserve">ORT</w:t>
      </w:r>
    </w:p>
    <w:p>
      <w:pPr>
        <w:numPr>
          <w:ilvl w:val="0"/>
          <w:numId w:val="1002"/>
        </w:numPr>
        <w:pStyle w:val="Compact"/>
      </w:pPr>
      <w:r>
        <w:t xml:space="preserve">PIG</w:t>
      </w:r>
    </w:p>
    <w:p>
      <w:pPr>
        <w:pStyle w:val="FirstParagraph"/>
      </w:pPr>
      <w:r>
        <w:t xml:space="preserve">Liste des programmes de l’ANCT intégrés :</w:t>
      </w:r>
    </w:p>
    <w:p>
      <w:pPr>
        <w:numPr>
          <w:ilvl w:val="0"/>
          <w:numId w:val="1003"/>
        </w:numPr>
        <w:pStyle w:val="Compact"/>
      </w:pPr>
      <w:r>
        <w:t xml:space="preserve">France services</w:t>
      </w:r>
    </w:p>
    <w:p>
      <w:pPr>
        <w:numPr>
          <w:ilvl w:val="0"/>
          <w:numId w:val="1003"/>
        </w:numPr>
        <w:pStyle w:val="Compact"/>
      </w:pPr>
      <w:r>
        <w:t xml:space="preserve">Petits villes de demain</w:t>
      </w:r>
    </w:p>
    <w:p>
      <w:pPr>
        <w:numPr>
          <w:ilvl w:val="0"/>
          <w:numId w:val="1003"/>
        </w:numPr>
        <w:pStyle w:val="Compact"/>
      </w:pPr>
      <w:r>
        <w:t xml:space="preserve">Territoires d’industrie</w:t>
      </w:r>
    </w:p>
    <w:p>
      <w:pPr>
        <w:pStyle w:val="FirstParagraph"/>
      </w:pPr>
      <w:r>
        <w:t xml:space="preserve">Liste des orientations stratégiques, axes, ambitions, volets, objectifs… :</w:t>
      </w:r>
    </w:p>
    <w:p>
      <w:pPr>
        <w:numPr>
          <w:ilvl w:val="0"/>
          <w:numId w:val="1004"/>
        </w:numPr>
        <w:pStyle w:val="Compact"/>
      </w:pPr>
      <w:r>
        <w:t xml:space="preserve">Orientation 1 : accompagner le développement économique du territoire, en particulier la filière senteurs saveurs dans le respect de l’environnement</w:t>
      </w:r>
    </w:p>
    <w:p>
      <w:pPr>
        <w:numPr>
          <w:ilvl w:val="0"/>
          <w:numId w:val="1004"/>
        </w:numPr>
        <w:pStyle w:val="Compact"/>
      </w:pPr>
      <w:r>
        <w:t xml:space="preserve">Orientation 2 : conforter l’atout que constitue la filière touristique en structurant une offre correspondant aux nouvelles attentes (slow tourisme..)</w:t>
      </w:r>
    </w:p>
    <w:p>
      <w:pPr>
        <w:numPr>
          <w:ilvl w:val="0"/>
          <w:numId w:val="1004"/>
        </w:numPr>
        <w:pStyle w:val="Compact"/>
      </w:pPr>
      <w:r>
        <w:t xml:space="preserve">Orientation 3 : accompagner la transformation du modèle agricole local</w:t>
      </w:r>
    </w:p>
    <w:p>
      <w:pPr>
        <w:numPr>
          <w:ilvl w:val="0"/>
          <w:numId w:val="1004"/>
        </w:numPr>
        <w:pStyle w:val="Compact"/>
      </w:pPr>
      <w:r>
        <w:t xml:space="preserve">Orientation 4 : encourager la production d’energies renouvelables dans le respect des enjeux environnementaux, paysagers et architecturaux avec la volonté que la richesse générée reste dans le territoire tout en réduisant les gachis energétiques</w:t>
      </w:r>
    </w:p>
    <w:p>
      <w:pPr>
        <w:numPr>
          <w:ilvl w:val="0"/>
          <w:numId w:val="1004"/>
        </w:numPr>
        <w:pStyle w:val="Compact"/>
      </w:pPr>
      <w:r>
        <w:t xml:space="preserve">Orientation 5 : constituer des</w:t>
      </w:r>
      <w:r>
        <w:t xml:space="preserve"> </w:t>
      </w:r>
      <w:r>
        <w:t xml:space="preserve">“</w:t>
      </w:r>
      <w:r>
        <w:t xml:space="preserve">Territoires zéro déchets</w:t>
      </w:r>
      <w:r>
        <w:t xml:space="preserve">”</w:t>
      </w:r>
    </w:p>
    <w:p>
      <w:pPr>
        <w:numPr>
          <w:ilvl w:val="0"/>
          <w:numId w:val="1004"/>
        </w:numPr>
        <w:pStyle w:val="Compact"/>
      </w:pPr>
      <w:r>
        <w:t xml:space="preserve">Orientation 6 : Mieux préserver la ressource en eau</w:t>
      </w:r>
    </w:p>
    <w:p>
      <w:pPr>
        <w:numPr>
          <w:ilvl w:val="0"/>
          <w:numId w:val="1004"/>
        </w:numPr>
        <w:pStyle w:val="Compact"/>
      </w:pPr>
      <w:r>
        <w:t xml:space="preserve">Orientation 7: réhabiliter le bati et promouvoir le développement de l’habitat tout en préservant les paysages et la qualtié du patrimoine architectural</w:t>
      </w:r>
    </w:p>
    <w:p>
      <w:pPr>
        <w:numPr>
          <w:ilvl w:val="0"/>
          <w:numId w:val="1004"/>
        </w:numPr>
        <w:pStyle w:val="Compact"/>
      </w:pPr>
      <w:r>
        <w:t xml:space="preserve">Orientation 8 : développer des services à la population, en particulier dans le secteur de la mobilité, dans une logique d’utilisation raisonnée des espaces naturels, agricoles et forestiers</w:t>
      </w:r>
    </w:p>
    <w:p>
      <w:pPr>
        <w:pStyle w:val="FirstParagraph"/>
      </w:pPr>
      <w:r>
        <w:t xml:space="preserve">Réalisation d’un diagnostic initial du territoire : Oui</w:t>
      </w:r>
    </w:p>
    <w:p>
      <w:pPr>
        <w:pStyle w:val="Corpsdetexte"/>
      </w:pPr>
      <w:r>
        <w:t xml:space="preserve">Mise à jour du projet de territoire avec l’élaboration du CRTE : -</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Emploi et Insertion</w:t>
      </w:r>
    </w:p>
    <w:p>
      <w:pPr>
        <w:numPr>
          <w:ilvl w:val="0"/>
          <w:numId w:val="1005"/>
        </w:numPr>
        <w:pStyle w:val="Compact"/>
      </w:pPr>
      <w:r>
        <w:t xml:space="preserve">Tourisme durable</w:t>
      </w:r>
    </w:p>
    <w:p>
      <w:pPr>
        <w:numPr>
          <w:ilvl w:val="0"/>
          <w:numId w:val="1005"/>
        </w:numPr>
        <w:pStyle w:val="Compact"/>
      </w:pPr>
      <w:r>
        <w:t xml:space="preserve">Economie, production et consommation durable</w:t>
      </w:r>
    </w:p>
    <w:p>
      <w:pPr>
        <w:numPr>
          <w:ilvl w:val="0"/>
          <w:numId w:val="1005"/>
        </w:numPr>
        <w:pStyle w:val="Compact"/>
      </w:pPr>
      <w:r>
        <w:t xml:space="preserve">Pratique agricole durable, agro-écologie</w:t>
      </w:r>
    </w:p>
    <w:p>
      <w:pPr>
        <w:numPr>
          <w:ilvl w:val="0"/>
          <w:numId w:val="1005"/>
        </w:numPr>
        <w:pStyle w:val="Compact"/>
      </w:pPr>
      <w:r>
        <w:t xml:space="preserve">Circuits courts agricoles</w:t>
      </w:r>
    </w:p>
    <w:p>
      <w:pPr>
        <w:numPr>
          <w:ilvl w:val="0"/>
          <w:numId w:val="1005"/>
        </w:numPr>
        <w:pStyle w:val="Compact"/>
      </w:pPr>
      <w:r>
        <w:t xml:space="preserve">Production d’énergies renouvelables</w:t>
      </w:r>
    </w:p>
    <w:p>
      <w:pPr>
        <w:numPr>
          <w:ilvl w:val="0"/>
          <w:numId w:val="1005"/>
        </w:numPr>
        <w:pStyle w:val="Compact"/>
      </w:pPr>
      <w:r>
        <w:t xml:space="preserve">Gestion, valorisation des déchets, réemploi</w:t>
      </w:r>
    </w:p>
    <w:p>
      <w:pPr>
        <w:numPr>
          <w:ilvl w:val="0"/>
          <w:numId w:val="1005"/>
        </w:numPr>
        <w:pStyle w:val="Compact"/>
      </w:pPr>
      <w:r>
        <w:t xml:space="preserve">Infrastructure(s) et réseaux (numérique, eau,chaleur…)</w:t>
      </w:r>
    </w:p>
    <w:p>
      <w:pPr>
        <w:numPr>
          <w:ilvl w:val="0"/>
          <w:numId w:val="1005"/>
        </w:numPr>
        <w:pStyle w:val="Compact"/>
      </w:pPr>
      <w:r>
        <w:t xml:space="preserve">Gestion quantitative et qualitative de l’eau</w:t>
      </w:r>
    </w:p>
    <w:p>
      <w:pPr>
        <w:numPr>
          <w:ilvl w:val="0"/>
          <w:numId w:val="1005"/>
        </w:numPr>
        <w:pStyle w:val="Compact"/>
      </w:pPr>
      <w:r>
        <w:t xml:space="preserve">Extension urbaine maîtrisée</w:t>
      </w:r>
    </w:p>
    <w:p>
      <w:pPr>
        <w:numPr>
          <w:ilvl w:val="0"/>
          <w:numId w:val="1005"/>
        </w:numPr>
        <w:pStyle w:val="Compact"/>
      </w:pPr>
      <w:r>
        <w:t xml:space="preserve">Accès à un logement de qualité</w:t>
      </w:r>
    </w:p>
    <w:p>
      <w:pPr>
        <w:numPr>
          <w:ilvl w:val="0"/>
          <w:numId w:val="1005"/>
        </w:numPr>
        <w:pStyle w:val="Compact"/>
      </w:pPr>
      <w:r>
        <w:t xml:space="preserve">Véhicules électriques, hybrides, GNV, bornes de recharge…</w:t>
      </w:r>
    </w:p>
    <w:p>
      <w:pPr>
        <w:numPr>
          <w:ilvl w:val="0"/>
          <w:numId w:val="1005"/>
        </w:numPr>
        <w:pStyle w:val="Compact"/>
      </w:pPr>
      <w:r>
        <w:t xml:space="preserve">Santé et soins</w:t>
      </w:r>
    </w:p>
    <w:p>
      <w:pPr>
        <w:numPr>
          <w:ilvl w:val="0"/>
          <w:numId w:val="1005"/>
        </w:numPr>
        <w:pStyle w:val="Compact"/>
      </w:pPr>
      <w:r>
        <w:t xml:space="preserve">Mobilités douces</w:t>
      </w:r>
    </w:p>
    <w:p>
      <w:pPr>
        <w:numPr>
          <w:ilvl w:val="0"/>
          <w:numId w:val="1005"/>
        </w:numPr>
        <w:pStyle w:val="Compact"/>
      </w:pPr>
      <w:r>
        <w:t xml:space="preserve">Organisation des déplacements</w:t>
      </w:r>
    </w:p>
    <w:p>
      <w:pPr>
        <w:numPr>
          <w:ilvl w:val="0"/>
          <w:numId w:val="1005"/>
        </w:numPr>
        <w:pStyle w:val="Compact"/>
      </w:pPr>
      <w:r>
        <w:t xml:space="preserve">Transports en commun</w:t>
      </w:r>
    </w:p>
    <w:p>
      <w:pPr>
        <w:pStyle w:val="FirstParagraph"/>
      </w:pPr>
      <w:r>
        <w:t xml:space="preserve">Nombre de fiches action (opération prête à démarrer) : 82</w:t>
      </w:r>
    </w:p>
    <w:p>
      <w:pPr>
        <w:pStyle w:val="Corpsdetexte"/>
      </w:pPr>
      <w:r>
        <w:t xml:space="preserve">Nombre de fiches projet (opération à travailler) : 60</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Prefecture</w:t>
      </w:r>
    </w:p>
    <w:p>
      <w:pPr>
        <w:numPr>
          <w:ilvl w:val="0"/>
          <w:numId w:val="1006"/>
        </w:numPr>
        <w:pStyle w:val="Compact"/>
      </w:pPr>
      <w:r>
        <w:t xml:space="preserve">nom : CC Pays Forcalquier et Montagne de Lure, SIREN : 240400440, nature : CC</w:t>
      </w:r>
    </w:p>
    <w:p>
      <w:pPr>
        <w:numPr>
          <w:ilvl w:val="0"/>
          <w:numId w:val="1006"/>
        </w:numPr>
        <w:pStyle w:val="Compact"/>
      </w:pPr>
      <w:r>
        <w:t xml:space="preserve">nom : CC Haute-Provence-Pays de Banon, SIREN : 200071025, nature : CC</w:t>
      </w:r>
    </w:p>
    <w:p>
      <w:pPr>
        <w:numPr>
          <w:ilvl w:val="0"/>
          <w:numId w:val="1006"/>
        </w:numPr>
        <w:pStyle w:val="Compact"/>
      </w:pPr>
      <w:r>
        <w:t xml:space="preserve">ANCT</w:t>
      </w:r>
    </w:p>
    <w:p>
      <w:pPr>
        <w:numPr>
          <w:ilvl w:val="0"/>
          <w:numId w:val="1006"/>
        </w:numPr>
        <w:pStyle w:val="Compact"/>
      </w:pPr>
      <w:r>
        <w:t xml:space="preserve">ANAH</w:t>
      </w:r>
    </w:p>
    <w:p>
      <w:pPr>
        <w:numPr>
          <w:ilvl w:val="0"/>
          <w:numId w:val="1006"/>
        </w:numPr>
        <w:pStyle w:val="Compact"/>
      </w:pPr>
      <w:r>
        <w:t xml:space="preserve">Banque des territoires</w:t>
      </w:r>
    </w:p>
    <w:p>
      <w:pPr>
        <w:numPr>
          <w:ilvl w:val="0"/>
          <w:numId w:val="1006"/>
        </w:numPr>
        <w:pStyle w:val="Compact"/>
      </w:pPr>
      <w:r>
        <w:t xml:space="preserve">ADEME</w:t>
      </w:r>
    </w:p>
    <w:p>
      <w:pPr>
        <w:numPr>
          <w:ilvl w:val="0"/>
          <w:numId w:val="1006"/>
        </w:numPr>
        <w:pStyle w:val="Compact"/>
      </w:pPr>
      <w:r>
        <w:t xml:space="preserve">Agence de l’eau</w:t>
      </w:r>
    </w:p>
    <w:p>
      <w:pPr>
        <w:numPr>
          <w:ilvl w:val="0"/>
          <w:numId w:val="1006"/>
        </w:numPr>
        <w:pStyle w:val="Compact"/>
      </w:pPr>
      <w:r>
        <w:t xml:space="preserve">CEREMA</w:t>
      </w:r>
    </w:p>
    <w:p>
      <w:pPr>
        <w:numPr>
          <w:ilvl w:val="0"/>
          <w:numId w:val="1006"/>
        </w:numPr>
        <w:pStyle w:val="Compact"/>
      </w:pPr>
      <w:r>
        <w:t xml:space="preserve">CCI</w:t>
      </w:r>
    </w:p>
    <w:p>
      <w:pPr>
        <w:numPr>
          <w:ilvl w:val="0"/>
          <w:numId w:val="1006"/>
        </w:numPr>
        <w:pStyle w:val="Compact"/>
      </w:pPr>
      <w:r>
        <w:t xml:space="preserve">Chambre des Metiers et de l’Artisanat</w:t>
      </w:r>
    </w:p>
    <w:p>
      <w:pPr>
        <w:numPr>
          <w:ilvl w:val="0"/>
          <w:numId w:val="1006"/>
        </w:numPr>
        <w:pStyle w:val="Compact"/>
      </w:pPr>
      <w:r>
        <w:t xml:space="preserve">Chambre d’agriculture</w:t>
      </w:r>
    </w:p>
    <w:p>
      <w:pPr>
        <w:pStyle w:val="FirstParagraph"/>
      </w:pPr>
      <w:r>
        <w:t xml:space="preserve">Liste des instances de partenariat mobilisées ou créées :</w:t>
      </w:r>
    </w:p>
    <w:p>
      <w:pPr>
        <w:numPr>
          <w:ilvl w:val="0"/>
          <w:numId w:val="1007"/>
        </w:numPr>
        <w:pStyle w:val="Compact"/>
      </w:pPr>
      <w:r>
        <w:t xml:space="preserve">comité de suivi</w:t>
      </w:r>
    </w:p>
    <w:p>
      <w:pPr>
        <w:pStyle w:val="FirstParagraph"/>
      </w:pPr>
      <w:r>
        <w:t xml:space="preserve">Fréquence prévisionnelle annuelle de réunion du COPIL : None</w:t>
      </w:r>
    </w:p>
    <w:p>
      <w:pPr>
        <w:pStyle w:val="Corpsdetexte"/>
      </w:pPr>
      <w:r>
        <w:t xml:space="preserve">Fréquence prévisionnelle annuelle de réunion du comité technique : -</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w:t>
      </w:r>
    </w:p>
    <w:p>
      <w:pPr>
        <w:pStyle w:val="Corpsdetexte"/>
      </w:pPr>
      <w:r>
        <w:t xml:space="preserve">Recrutement d’un volontaire territorial en administration : -</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68.02M€</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5.91M€</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2023-04-12T16:34:18Z</dcterms:created>
  <dcterms:modified xsi:type="dcterms:W3CDTF">2023-04-12T16:34:18Z</dcterms:modified>
</cp:coreProperties>
</file>

<file path=docProps/custom.xml><?xml version="1.0" encoding="utf-8"?>
<Properties xmlns="http://schemas.openxmlformats.org/officeDocument/2006/custom-properties" xmlns:vt="http://schemas.openxmlformats.org/officeDocument/2006/docPropsVTypes"/>
</file>