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09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Entr’Allier Besbre et Loire</w:t>
      </w:r>
    </w:p>
    <w:p>
      <w:pPr>
        <w:pStyle w:val="Corpsdetexte"/>
      </w:pPr>
      <w:r>
        <w:t xml:space="preserve">Si protocole de préfiguration : date de signature : 2021-10-22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 : CC Entr’Allier Besbre et Loire, SIREN : 200071470,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Reconquete centres villes centres bourgs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1- Le développement économique au service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2- Faire que la transition écologique profite à tous, contribue au mieux être de chacun et favorise l’égalité des chances</w:t>
      </w:r>
    </w:p>
    <w:p>
      <w:pPr>
        <w:numPr>
          <w:ilvl w:val="0"/>
          <w:numId w:val="1005"/>
        </w:numPr>
        <w:pStyle w:val="Compact"/>
      </w:pPr>
      <w:r>
        <w:t xml:space="preserve">Axe 3- Préserver l’environnement et valoriser le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110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syndicat départemental de l’energie</w:t>
      </w:r>
    </w:p>
    <w:p>
      <w:pPr>
        <w:numPr>
          <w:ilvl w:val="0"/>
          <w:numId w:val="1007"/>
        </w:numPr>
        <w:pStyle w:val="Compact"/>
      </w:pPr>
      <w:r>
        <w:t xml:space="preserve">SM des eaux de l’Allier</w:t>
      </w:r>
    </w:p>
    <w:p>
      <w:pPr>
        <w:numPr>
          <w:ilvl w:val="0"/>
          <w:numId w:val="1007"/>
        </w:numPr>
        <w:pStyle w:val="Compact"/>
      </w:pPr>
      <w:r>
        <w:t xml:space="preserve">sictom nord allier</w:t>
      </w:r>
    </w:p>
    <w:p>
      <w:pPr>
        <w:numPr>
          <w:ilvl w:val="0"/>
          <w:numId w:val="1007"/>
        </w:numPr>
        <w:pStyle w:val="Compact"/>
      </w:pPr>
      <w:r>
        <w:t xml:space="preserve">sictom sud allier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nom : Allier, SIREN : 03,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Entr’Allier Besbre et Loire, SIREN : 200071470,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numPr>
          <w:ilvl w:val="0"/>
          <w:numId w:val="1009"/>
        </w:numPr>
        <w:pStyle w:val="Compact"/>
      </w:pPr>
      <w:r>
        <w:t xml:space="preserve">SPL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2023-04-12T16:30:27Z</dcterms:created>
  <dcterms:modified xsi:type="dcterms:W3CDTF">2023-04-12T16:30:27Z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