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24 août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Limoges Métropole Communauté urbaine</w:t>
      </w:r>
    </w:p>
    <w:p>
      <w:pPr>
        <w:pStyle w:val="Corpsdetexte"/>
      </w:pPr>
      <w:r>
        <w:t xml:space="preserve">Si protocole de préfiguration : date de signature : 2021-05-26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Limoges Métropole, SIREN : 248719312, nature : CU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solidarité et d’attractivité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Un territoire dynamique dans la recherche et le développement</w:t>
      </w:r>
    </w:p>
    <w:p>
      <w:pPr>
        <w:numPr>
          <w:ilvl w:val="0"/>
          <w:numId w:val="1005"/>
        </w:numPr>
        <w:pStyle w:val="Compact"/>
      </w:pPr>
      <w:r>
        <w:t xml:space="preserve">Axe 2: Un territoire porteur d’innovation inscrit dans un schéma durable</w:t>
      </w:r>
    </w:p>
    <w:p>
      <w:pPr>
        <w:numPr>
          <w:ilvl w:val="0"/>
          <w:numId w:val="1005"/>
        </w:numPr>
        <w:pStyle w:val="Compact"/>
      </w:pPr>
      <w:r>
        <w:t xml:space="preserve">Axe 3: Un territoire en renouvellement et attractif</w:t>
      </w:r>
    </w:p>
    <w:p>
      <w:pPr>
        <w:numPr>
          <w:ilvl w:val="0"/>
          <w:numId w:val="1005"/>
        </w:numPr>
        <w:pStyle w:val="Compact"/>
      </w:pPr>
      <w:r>
        <w:t xml:space="preserve">Axe 4: Un territoire solidaire et tourné vers les citoyens</w:t>
      </w:r>
    </w:p>
    <w:p>
      <w:pPr>
        <w:numPr>
          <w:ilvl w:val="0"/>
          <w:numId w:val="1005"/>
        </w:numPr>
        <w:pStyle w:val="Compact"/>
      </w:pPr>
      <w:r>
        <w:t xml:space="preserve">Axe 5: Une connexion avec les autres territoires de la région à renforcer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206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CU Limoges Métropole, SIREN : 248719312, nature : CU</w:t>
      </w:r>
    </w:p>
    <w:p>
      <w:pPr>
        <w:numPr>
          <w:ilvl w:val="0"/>
          <w:numId w:val="1007"/>
        </w:numPr>
        <w:pStyle w:val="Compact"/>
      </w:pPr>
      <w:r>
        <w:t xml:space="preserve">Communes membres CULM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numPr>
          <w:ilvl w:val="0"/>
          <w:numId w:val="1007"/>
        </w:numPr>
        <w:pStyle w:val="Compact"/>
      </w:pPr>
      <w:r>
        <w:t xml:space="preserve">conseiller communautaire en charge des politiques contractuelles et des fonds européens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835.42M€</w:t>
      </w:r>
    </w:p>
    <w:p>
      <w:pPr>
        <w:pStyle w:val="Corpsdetexte"/>
      </w:pPr>
      <w:r>
        <w:t xml:space="preserve">Montant total en euros des engagements financiers des collectivités locales et leurs établissements publics : 13.72M€</w:t>
      </w:r>
    </w:p>
    <w:p>
      <w:pPr>
        <w:pStyle w:val="Corpsdetexte"/>
      </w:pPr>
      <w:r>
        <w:t xml:space="preserve">Montant total en euros des engagements financiers de l’Etat et de ses opérateurs Plan de relance : 4.73M€</w:t>
      </w:r>
    </w:p>
    <w:p>
      <w:pPr>
        <w:pStyle w:val="Corpsdetexte"/>
      </w:pPr>
      <w:r>
        <w:t xml:space="preserve">Montant total en euros des engagements financiers de l’Etat et de ses opérateurs hors plan de relance : 35.32M€</w:t>
      </w:r>
    </w:p>
    <w:p>
      <w:pPr>
        <w:pStyle w:val="Corpsdetexte"/>
      </w:pPr>
      <w:r>
        <w:t xml:space="preserve">Montant total prévisionnel en euros des cofinancements européens : 8.88M€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20 000 €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2023-04-12T12:32:45Z</dcterms:created>
  <dcterms:modified xsi:type="dcterms:W3CDTF">2023-04-12T12:32:45Z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