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lucas.mounier@haute-vienne.gouv.fr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Gartempe Saint-Pardoux</w:t>
      </w:r>
    </w:p>
    <w:p>
      <w:pPr>
        <w:pStyle w:val="Corpsdetexte"/>
      </w:pPr>
      <w:r>
        <w:t xml:space="preserve">Si protocole de préfiguration : date de signature : 2021-05-03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Gartempe - Saint Pardoux, SIREN : 248719262, nature : CC</w:t>
      </w:r>
    </w:p>
    <w:p>
      <w:pPr>
        <w:numPr>
          <w:ilvl w:val="0"/>
          <w:numId w:val="1001"/>
        </w:numPr>
        <w:pStyle w:val="Compact"/>
      </w:pPr>
      <w:r>
        <w:t xml:space="preserve">nom : Haute-Vienne, SIREN : 87, nature : departement</w:t>
      </w:r>
    </w:p>
    <w:p>
      <w:pPr>
        <w:numPr>
          <w:ilvl w:val="0"/>
          <w:numId w:val="1001"/>
        </w:numPr>
        <w:pStyle w:val="Compact"/>
      </w:pPr>
      <w:r>
        <w:t xml:space="preserve">État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le conventionnement signé avec l’Etablissement Public Foncier de Nouvelle-Aquitaine et le syndicat mixte interdépartemental du Parc d’Activités de la Croisière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numPr>
          <w:ilvl w:val="0"/>
          <w:numId w:val="1003"/>
        </w:numPr>
        <w:pStyle w:val="Compact"/>
      </w:pPr>
      <w:r>
        <w:t xml:space="preserve">Contrat départemental de développement intercommunal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accompagner et diversifier l’économie locale, développer et renforcer les services de proximité</w:t>
      </w:r>
    </w:p>
    <w:p>
      <w:pPr>
        <w:numPr>
          <w:ilvl w:val="0"/>
          <w:numId w:val="1005"/>
        </w:numPr>
        <w:pStyle w:val="Compact"/>
      </w:pPr>
      <w:r>
        <w:t xml:space="preserve">Orientation 2 : renforcer un cadre de vie rural attractif et valoriser les atouts d’une campagne vivante et authentique</w:t>
      </w:r>
    </w:p>
    <w:p>
      <w:pPr>
        <w:numPr>
          <w:ilvl w:val="0"/>
          <w:numId w:val="1005"/>
        </w:numPr>
        <w:pStyle w:val="Compact"/>
      </w:pPr>
      <w:r>
        <w:t xml:space="preserve">Orientation 3 : valoriser le capital patrimoine environnement et récréatif du territoire pour affirmer Gartempe Saint-Pardoux comme un espace touristique majeur du Haut-Limousin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pStyle w:val="FirstParagraph"/>
      </w:pPr>
      <w:r>
        <w:t xml:space="preserve">Nombre de fiches action (opération prête à démarrer) : 13</w:t>
      </w:r>
    </w:p>
    <w:p>
      <w:pPr>
        <w:pStyle w:val="Corpsdetexte"/>
      </w:pPr>
      <w:r>
        <w:t xml:space="preserve">Nombre de fiches projet (opération à travailler) : 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Gartempe - Saint Pardoux, SIREN : 248719262,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Haute-Vienne, SIREN : 87,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60 000€</w:t>
      </w:r>
    </w:p>
    <w:p>
      <w:pPr>
        <w:pStyle w:val="Corpsdetexte"/>
      </w:pPr>
      <w:r>
        <w:t xml:space="preserve">Montant total prévisionnel en euros des actions en dépenses d’investissement : 23.79M€</w:t>
      </w:r>
    </w:p>
    <w:p>
      <w:pPr>
        <w:pStyle w:val="Corpsdetexte"/>
      </w:pPr>
      <w:r>
        <w:t xml:space="preserve">Montant total en euros des engagements financiers des collectivités locales et leurs établissements publics : 21.53M€</w:t>
      </w:r>
    </w:p>
    <w:p>
      <w:pPr>
        <w:pStyle w:val="Corpsdetexte"/>
      </w:pPr>
      <w:r>
        <w:t xml:space="preserve">Montant total en euros des engagements financiers de l’Etat et de ses opérateurs Plan de relance : 1.38M€</w:t>
      </w:r>
    </w:p>
    <w:p>
      <w:pPr>
        <w:pStyle w:val="Corpsdetexte"/>
      </w:pPr>
      <w:r>
        <w:t xml:space="preserve">Montant total en euros des engagements financiers de l’Etat et de ses opérateurs hors plan de relance : 1.27M€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2023-04-12T12:24:44Z</dcterms:created>
  <dcterms:modified xsi:type="dcterms:W3CDTF">2023-04-12T12:24:44Z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