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Briance Sud Haute-Vienne</w:t>
      </w:r>
    </w:p>
    <w:p>
      <w:pPr>
        <w:pStyle w:val="Corpsdetexte"/>
      </w:pPr>
      <w:r>
        <w:t xml:space="preserve">Si protocole de préfiguration : date de signature : 2021-05-17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Briance Sud Haute Vienne, SIREN : 200040814, nature : CC</w:t>
      </w:r>
    </w:p>
    <w:p>
      <w:pPr>
        <w:numPr>
          <w:ilvl w:val="0"/>
          <w:numId w:val="1001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Politique culturelle et d’appui à une mise en tourisme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pour la gestion déléguée des crédits européens FEADER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et territorial conclue avec le musée Sabourdy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Développer une économie diversifiée et respectueuse de l’environnement</w:t>
      </w:r>
    </w:p>
    <w:p>
      <w:pPr>
        <w:numPr>
          <w:ilvl w:val="0"/>
          <w:numId w:val="1005"/>
        </w:numPr>
        <w:pStyle w:val="Compact"/>
      </w:pPr>
      <w:r>
        <w:t xml:space="preserve">Orientation 2: Un aménagement équilibré respectueux du cadre de vie</w:t>
      </w:r>
    </w:p>
    <w:p>
      <w:pPr>
        <w:numPr>
          <w:ilvl w:val="0"/>
          <w:numId w:val="1005"/>
        </w:numPr>
        <w:pStyle w:val="Compact"/>
      </w:pPr>
      <w:r>
        <w:t xml:space="preserve">Orientation 3: Rayonnement et attractivité/ image et notoriété</w:t>
      </w:r>
    </w:p>
    <w:p>
      <w:pPr>
        <w:numPr>
          <w:ilvl w:val="0"/>
          <w:numId w:val="1005"/>
        </w:numPr>
        <w:pStyle w:val="Compact"/>
      </w:pPr>
      <w:r>
        <w:t xml:space="preserve">Orientation 4: Une offre de service adaptée à notre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Briance Sud Haute Vienne, SIREN : 200040814, nature : CC</w:t>
      </w:r>
    </w:p>
    <w:p>
      <w:pPr>
        <w:numPr>
          <w:ilvl w:val="0"/>
          <w:numId w:val="1007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 de la Châtaigneraie Limousine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7.09M€</w:t>
      </w:r>
    </w:p>
    <w:p>
      <w:pPr>
        <w:pStyle w:val="Corpsdetexte"/>
      </w:pPr>
      <w:r>
        <w:t xml:space="preserve">Montant total en euros des engagements financiers des collectivités locales et leurs établissements publics : 5.33M€</w:t>
      </w:r>
    </w:p>
    <w:p>
      <w:pPr>
        <w:pStyle w:val="Corpsdetexte"/>
      </w:pPr>
      <w:r>
        <w:t xml:space="preserve">Montant total en euros des engagements financiers de l’Etat et de ses opérateurs Plan de relance : 90 829,3€</w:t>
      </w:r>
    </w:p>
    <w:p>
      <w:pPr>
        <w:pStyle w:val="Corpsdetexte"/>
      </w:pPr>
      <w:r>
        <w:t xml:space="preserve">Montant total en euros des engagements financiers de l’Etat et de ses opérateurs hors plan de relance : 1.53M€</w:t>
      </w:r>
    </w:p>
    <w:p>
      <w:pPr>
        <w:pStyle w:val="Corpsdetexte"/>
      </w:pPr>
      <w:r>
        <w:t xml:space="preserve">Montant total prévisionnel en euros des cofinancements européens : 50 159,2€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2023-04-12T12:26:25Z</dcterms:created>
  <dcterms:modified xsi:type="dcterms:W3CDTF">2023-04-12T12:26:25Z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