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marie.hagen@seine-et-marne.gouv.fr</w:t>
      </w:r>
    </w:p>
    <w:p>
      <w:pPr>
        <w:pStyle w:val="Corpsdetexte"/>
      </w:pPr>
      <w:r>
        <w:t xml:space="preserve">Date de signature du CRTE : 27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Moret Seine et Loing</w:t>
      </w:r>
    </w:p>
    <w:p>
      <w:pPr>
        <w:pStyle w:val="Corpsdetexte"/>
      </w:pPr>
      <w:r>
        <w:t xml:space="preserve">Si protocole de préfiguration : date de signature : 2021-07-13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Moret Seine et Loing, SIREN : 247700032, nature : CC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Contrats Caisse nationale d’Assurance Vieillesse</w:t>
      </w:r>
    </w:p>
    <w:p>
      <w:pPr>
        <w:numPr>
          <w:ilvl w:val="0"/>
          <w:numId w:val="1003"/>
        </w:numPr>
        <w:pStyle w:val="Compact"/>
      </w:pPr>
      <w:r>
        <w:t xml:space="preserve">Contrats DRAC</w:t>
      </w:r>
    </w:p>
    <w:p>
      <w:pPr>
        <w:numPr>
          <w:ilvl w:val="0"/>
          <w:numId w:val="1003"/>
        </w:numPr>
        <w:pStyle w:val="Compact"/>
      </w:pPr>
      <w:r>
        <w:t xml:space="preserve">Contrats Région</w:t>
      </w:r>
    </w:p>
    <w:p>
      <w:pPr>
        <w:numPr>
          <w:ilvl w:val="0"/>
          <w:numId w:val="1003"/>
        </w:numPr>
        <w:pStyle w:val="Compact"/>
      </w:pPr>
      <w:r>
        <w:t xml:space="preserve">Contrats CD77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(O1) - Relance et développement de l’activité économique</w:t>
      </w:r>
    </w:p>
    <w:p>
      <w:pPr>
        <w:numPr>
          <w:ilvl w:val="0"/>
          <w:numId w:val="1005"/>
        </w:numPr>
        <w:pStyle w:val="Compact"/>
      </w:pPr>
      <w:r>
        <w:t xml:space="preserve">O1-axe1 : Renforcer un pôle d’activités commerciales sur le pôle économique des Renardières</w:t>
      </w:r>
    </w:p>
    <w:p>
      <w:pPr>
        <w:numPr>
          <w:ilvl w:val="0"/>
          <w:numId w:val="1005"/>
        </w:numPr>
        <w:pStyle w:val="Compact"/>
      </w:pPr>
      <w:r>
        <w:t xml:space="preserve">O1-axe2 : Développer les commerces de centre-ville</w:t>
      </w:r>
    </w:p>
    <w:p>
      <w:pPr>
        <w:numPr>
          <w:ilvl w:val="0"/>
          <w:numId w:val="1005"/>
        </w:numPr>
        <w:pStyle w:val="Compact"/>
      </w:pPr>
      <w:r>
        <w:t xml:space="preserve">O1-axe3 : Reconversion de friches industrielles, commerciales, naturelles</w:t>
      </w:r>
    </w:p>
    <w:p>
      <w:pPr>
        <w:numPr>
          <w:ilvl w:val="0"/>
          <w:numId w:val="1005"/>
        </w:numPr>
        <w:pStyle w:val="Compact"/>
      </w:pPr>
      <w:r>
        <w:t xml:space="preserve">O1-axe4 : Développer l’attractivité touristique</w:t>
      </w:r>
    </w:p>
    <w:p>
      <w:pPr>
        <w:numPr>
          <w:ilvl w:val="0"/>
          <w:numId w:val="1005"/>
        </w:numPr>
        <w:pStyle w:val="Compact"/>
      </w:pPr>
      <w:r>
        <w:t xml:space="preserve">O1-axe5 : Mettre en place des dispositifs d’accès à l’emploi pour tous</w:t>
      </w:r>
    </w:p>
    <w:p>
      <w:pPr>
        <w:numPr>
          <w:ilvl w:val="0"/>
          <w:numId w:val="1005"/>
        </w:numPr>
        <w:pStyle w:val="Compact"/>
      </w:pPr>
      <w:r>
        <w:t xml:space="preserve">Orientation 2 (O2)- Attractivité résidentielle en direction des populations jeunes</w:t>
      </w:r>
    </w:p>
    <w:p>
      <w:pPr>
        <w:numPr>
          <w:ilvl w:val="0"/>
          <w:numId w:val="1005"/>
        </w:numPr>
        <w:pStyle w:val="Compact"/>
      </w:pPr>
      <w:r>
        <w:t xml:space="preserve">O2-axe1 : Développer une offre de logements adaptés aux jeunes et aux jeunes ménages</w:t>
      </w:r>
    </w:p>
    <w:p>
      <w:pPr>
        <w:numPr>
          <w:ilvl w:val="0"/>
          <w:numId w:val="1005"/>
        </w:numPr>
        <w:pStyle w:val="Compact"/>
      </w:pPr>
      <w:r>
        <w:t xml:space="preserve">O2-axe2 : Adapter l’offre d’accueil du jeune enfant</w:t>
      </w:r>
    </w:p>
    <w:p>
      <w:pPr>
        <w:numPr>
          <w:ilvl w:val="0"/>
          <w:numId w:val="1005"/>
        </w:numPr>
        <w:pStyle w:val="Compact"/>
      </w:pPr>
      <w:r>
        <w:t xml:space="preserve">O2-axe3 : Développer une offre culturelle variée et plurielle</w:t>
      </w:r>
    </w:p>
    <w:p>
      <w:pPr>
        <w:numPr>
          <w:ilvl w:val="0"/>
          <w:numId w:val="1005"/>
        </w:numPr>
        <w:pStyle w:val="Compact"/>
      </w:pPr>
      <w:r>
        <w:t xml:space="preserve">O2-axe4 : Développer les structures d’actions sociétales</w:t>
      </w:r>
    </w:p>
    <w:p>
      <w:pPr>
        <w:numPr>
          <w:ilvl w:val="0"/>
          <w:numId w:val="1005"/>
        </w:numPr>
        <w:pStyle w:val="Compact"/>
      </w:pPr>
      <w:r>
        <w:t xml:space="preserve">O2-axe5 : Soutenir et développer les établissements à vocation éducative</w:t>
      </w:r>
    </w:p>
    <w:p>
      <w:pPr>
        <w:numPr>
          <w:ilvl w:val="0"/>
          <w:numId w:val="1005"/>
        </w:numPr>
        <w:pStyle w:val="Compact"/>
      </w:pPr>
      <w:r>
        <w:t xml:space="preserve">Orientation 3 (O3) - Accélération de la rénovation thermique, de la sécurisation des bâtiments et de la mise en conformité de l’éclairage public</w:t>
      </w:r>
    </w:p>
    <w:p>
      <w:pPr>
        <w:numPr>
          <w:ilvl w:val="0"/>
          <w:numId w:val="1005"/>
        </w:numPr>
        <w:pStyle w:val="Compact"/>
      </w:pPr>
      <w:r>
        <w:t xml:space="preserve">O3-axe1 : Le parc public</w:t>
      </w:r>
    </w:p>
    <w:p>
      <w:pPr>
        <w:numPr>
          <w:ilvl w:val="0"/>
          <w:numId w:val="1005"/>
        </w:numPr>
        <w:pStyle w:val="Compact"/>
      </w:pPr>
      <w:r>
        <w:t xml:space="preserve">O3-axe2 : Le parc privé</w:t>
      </w:r>
    </w:p>
    <w:p>
      <w:pPr>
        <w:numPr>
          <w:ilvl w:val="0"/>
          <w:numId w:val="1005"/>
        </w:numPr>
        <w:pStyle w:val="Compact"/>
      </w:pPr>
      <w:r>
        <w:t xml:space="preserve">Orientation 4 (O4) - Développement des mobilités douces ou moins polluantes</w:t>
      </w:r>
    </w:p>
    <w:p>
      <w:pPr>
        <w:numPr>
          <w:ilvl w:val="0"/>
          <w:numId w:val="1005"/>
        </w:numPr>
        <w:pStyle w:val="Compact"/>
      </w:pPr>
      <w:r>
        <w:t xml:space="preserve">O4-axe1 : Aménager les espaces publics pour faciliter les déplacements</w:t>
      </w:r>
    </w:p>
    <w:p>
      <w:pPr>
        <w:numPr>
          <w:ilvl w:val="0"/>
          <w:numId w:val="1005"/>
        </w:numPr>
        <w:pStyle w:val="Compact"/>
      </w:pPr>
      <w:r>
        <w:t xml:space="preserve">O4-axe2 : Déploiement des alternatives aux déplacements</w:t>
      </w:r>
    </w:p>
    <w:p>
      <w:pPr>
        <w:numPr>
          <w:ilvl w:val="0"/>
          <w:numId w:val="1005"/>
        </w:numPr>
        <w:pStyle w:val="Compact"/>
      </w:pPr>
      <w:r>
        <w:t xml:space="preserve">Orientation 5 (O5) - Lutte contre l’isolement, la disparition des services de proximité et la désertification médicale</w:t>
      </w:r>
    </w:p>
    <w:p>
      <w:pPr>
        <w:numPr>
          <w:ilvl w:val="0"/>
          <w:numId w:val="1005"/>
        </w:numPr>
        <w:pStyle w:val="Compact"/>
      </w:pPr>
      <w:r>
        <w:t xml:space="preserve">O5-axe1 : Créer les conditions d’accueil des professionnels de santé</w:t>
      </w:r>
    </w:p>
    <w:p>
      <w:pPr>
        <w:numPr>
          <w:ilvl w:val="0"/>
          <w:numId w:val="1005"/>
        </w:numPr>
        <w:pStyle w:val="Compact"/>
      </w:pPr>
      <w:r>
        <w:t xml:space="preserve">O5-axe2 : Développer les actions de maintien à domicile des personnes âgées ou fragilisées</w:t>
      </w:r>
    </w:p>
    <w:p>
      <w:pPr>
        <w:numPr>
          <w:ilvl w:val="0"/>
          <w:numId w:val="1005"/>
        </w:numPr>
        <w:pStyle w:val="Compact"/>
      </w:pPr>
      <w:r>
        <w:t xml:space="preserve">O5-axe3 : Déployer France Services</w:t>
      </w:r>
    </w:p>
    <w:p>
      <w:pPr>
        <w:numPr>
          <w:ilvl w:val="0"/>
          <w:numId w:val="1005"/>
        </w:numPr>
        <w:pStyle w:val="Compact"/>
      </w:pPr>
      <w:r>
        <w:t xml:space="preserve">Orientation 6 (O6) - Déploiement et soutiens aux structures et associations engagées dans le sport pour tous</w:t>
      </w:r>
    </w:p>
    <w:p>
      <w:pPr>
        <w:numPr>
          <w:ilvl w:val="0"/>
          <w:numId w:val="1005"/>
        </w:numPr>
        <w:pStyle w:val="Compact"/>
      </w:pPr>
      <w:r>
        <w:t xml:space="preserve">O6-axe1 : Gérer les équipements sportifs</w:t>
      </w:r>
    </w:p>
    <w:p>
      <w:pPr>
        <w:numPr>
          <w:ilvl w:val="0"/>
          <w:numId w:val="1005"/>
        </w:numPr>
        <w:pStyle w:val="Compact"/>
      </w:pPr>
      <w:r>
        <w:t xml:space="preserve">O6-axe2 : Soutenir les associations sportives</w:t>
      </w:r>
    </w:p>
    <w:p>
      <w:pPr>
        <w:numPr>
          <w:ilvl w:val="0"/>
          <w:numId w:val="1005"/>
        </w:numPr>
        <w:pStyle w:val="Compact"/>
      </w:pPr>
      <w:r>
        <w:t xml:space="preserve">Orientation 7 (O7) - Soutien à une agriculture et à une consommation plus vertueuse</w:t>
      </w:r>
    </w:p>
    <w:p>
      <w:pPr>
        <w:numPr>
          <w:ilvl w:val="0"/>
          <w:numId w:val="1005"/>
        </w:numPr>
        <w:pStyle w:val="Compact"/>
      </w:pPr>
      <w:r>
        <w:t xml:space="preserve">O7-axe1 : Renforcer les circuits de proximité, l’autonomie alimentaire du territoire et la consommation responsable</w:t>
      </w:r>
    </w:p>
    <w:p>
      <w:pPr>
        <w:numPr>
          <w:ilvl w:val="0"/>
          <w:numId w:val="1005"/>
        </w:numPr>
        <w:pStyle w:val="Compact"/>
      </w:pPr>
      <w:r>
        <w:t xml:space="preserve">O7-axe2 : Accompagnement de proximité aux agriculteurs du territoire</w:t>
      </w:r>
    </w:p>
    <w:p>
      <w:pPr>
        <w:numPr>
          <w:ilvl w:val="0"/>
          <w:numId w:val="1005"/>
        </w:numPr>
        <w:pStyle w:val="Compact"/>
      </w:pPr>
      <w:r>
        <w:t xml:space="preserve">O7-axe3 : Renforcement du travail partenarial avec les syndicats de collecte et de traitement des déchets</w:t>
      </w:r>
    </w:p>
    <w:p>
      <w:pPr>
        <w:numPr>
          <w:ilvl w:val="0"/>
          <w:numId w:val="1005"/>
        </w:numPr>
        <w:pStyle w:val="Compact"/>
      </w:pPr>
      <w:r>
        <w:t xml:space="preserve">Orientation 8 (O8) - Soutien au développement des énergies renouvelables</w:t>
      </w:r>
    </w:p>
    <w:p>
      <w:pPr>
        <w:numPr>
          <w:ilvl w:val="0"/>
          <w:numId w:val="1005"/>
        </w:numPr>
        <w:pStyle w:val="Compact"/>
      </w:pPr>
      <w:r>
        <w:t xml:space="preserve">O8-axe1 : Soutien à la filière Méthanisation/biomasse</w:t>
      </w:r>
    </w:p>
    <w:p>
      <w:pPr>
        <w:numPr>
          <w:ilvl w:val="0"/>
          <w:numId w:val="1005"/>
        </w:numPr>
        <w:pStyle w:val="Compact"/>
      </w:pPr>
      <w:r>
        <w:t xml:space="preserve">O8-axe2 : Soutien à la filière bois</w:t>
      </w:r>
    </w:p>
    <w:p>
      <w:pPr>
        <w:numPr>
          <w:ilvl w:val="0"/>
          <w:numId w:val="1005"/>
        </w:numPr>
        <w:pStyle w:val="Compact"/>
      </w:pPr>
      <w:r>
        <w:t xml:space="preserve">O8-axe3 : Soutien à l’émergence de projets de production d’électricité</w:t>
      </w:r>
      <w:r>
        <w:t xml:space="preserve"> </w:t>
      </w:r>
      <w:r>
        <w:t xml:space="preserve">“</w:t>
      </w:r>
      <w:r>
        <w:t xml:space="preserve">verte</w:t>
      </w:r>
      <w:r>
        <w:t xml:space="preserve">”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36</w:t>
      </w:r>
    </w:p>
    <w:p>
      <w:pPr>
        <w:pStyle w:val="Corpsdetexte"/>
      </w:pPr>
      <w:r>
        <w:t xml:space="preserve">Nombre de fiches projet (opération à travailler) : 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Moret Seine et Loing, SIREN : 247700032, nature : CC</w:t>
      </w:r>
    </w:p>
    <w:p>
      <w:pPr>
        <w:numPr>
          <w:ilvl w:val="0"/>
          <w:numId w:val="1007"/>
        </w:numPr>
        <w:pStyle w:val="Compact"/>
      </w:pPr>
      <w:r>
        <w:t xml:space="preserve">prefet 77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Bureau communautaire</w:t>
      </w:r>
    </w:p>
    <w:p>
      <w:pPr>
        <w:numPr>
          <w:ilvl w:val="0"/>
          <w:numId w:val="1008"/>
        </w:numPr>
        <w:pStyle w:val="Compact"/>
      </w:pPr>
      <w:r>
        <w:t xml:space="preserve">Conseil communautaire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CD77</w:t>
      </w:r>
    </w:p>
    <w:p>
      <w:pPr>
        <w:numPr>
          <w:ilvl w:val="0"/>
          <w:numId w:val="1009"/>
        </w:numPr>
        <w:pStyle w:val="Compact"/>
      </w:pPr>
      <w:r>
        <w:t xml:space="preserve">Région IDF</w:t>
      </w:r>
    </w:p>
    <w:p>
      <w:pPr>
        <w:numPr>
          <w:ilvl w:val="0"/>
          <w:numId w:val="1009"/>
        </w:numPr>
        <w:pStyle w:val="Compact"/>
      </w:pPr>
      <w:r>
        <w:t xml:space="preserve">UE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Agence de l’eau</w:t>
      </w:r>
    </w:p>
    <w:p>
      <w:pPr>
        <w:numPr>
          <w:ilvl w:val="0"/>
          <w:numId w:val="1009"/>
        </w:numPr>
        <w:pStyle w:val="Compact"/>
      </w:pPr>
      <w:r>
        <w:t xml:space="preserve">Syndicat Départemental des Energies de Seine-et-Marne (SDESM)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257 266€</w:t>
      </w:r>
    </w:p>
    <w:p>
      <w:pPr>
        <w:pStyle w:val="Corpsdetexte"/>
      </w:pPr>
      <w:r>
        <w:t xml:space="preserve">Montant total prévisionnel en euros des actions en dépenses d’investissement : 20.74M€</w:t>
      </w:r>
    </w:p>
    <w:p>
      <w:pPr>
        <w:pStyle w:val="Corpsdetexte"/>
      </w:pPr>
      <w:r>
        <w:t xml:space="preserve">Montant total en euros des engagements financiers des collectivités locales et leurs établissements publics : 4.59M€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2023-04-12T12:25:21Z</dcterms:created>
  <dcterms:modified xsi:type="dcterms:W3CDTF">2023-04-12T12:25:21Z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