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carine.einkhah@rhone.gouv.fr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Monts du Lyonnais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des Monts du Lyonnais, SIREN : 200066587,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Préserver la vitalité et le caractère rural</w:t>
      </w:r>
    </w:p>
    <w:p>
      <w:pPr>
        <w:numPr>
          <w:ilvl w:val="0"/>
          <w:numId w:val="1005"/>
        </w:numPr>
        <w:pStyle w:val="Compact"/>
      </w:pPr>
      <w:r>
        <w:t xml:space="preserve">Conforter la qualité de vie</w:t>
      </w:r>
    </w:p>
    <w:p>
      <w:pPr>
        <w:numPr>
          <w:ilvl w:val="0"/>
          <w:numId w:val="1005"/>
        </w:numPr>
        <w:pStyle w:val="Compact"/>
      </w:pPr>
      <w:r>
        <w:t xml:space="preserve">Développer la dynamique économique et l’emploi</w:t>
      </w:r>
    </w:p>
    <w:p>
      <w:pPr>
        <w:numPr>
          <w:ilvl w:val="0"/>
          <w:numId w:val="1005"/>
        </w:numPr>
        <w:pStyle w:val="Compact"/>
      </w:pPr>
      <w:r>
        <w:t xml:space="preserve">Répondre aux défis de la transition écologique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16.95M€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2023-04-12T12:32:32Z</dcterms:created>
  <dcterms:modified xsi:type="dcterms:W3CDTF">2023-04-12T12:32:32Z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