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chloe.buisson@rhone.gouv.fr</w:t>
      </w:r>
    </w:p>
    <w:p>
      <w:pPr>
        <w:pStyle w:val="Corpsdetexte"/>
      </w:pPr>
      <w:r>
        <w:t xml:space="preserve">Date de signature du CRTE : 13 juillet 2021</w:t>
      </w:r>
    </w:p>
    <w:p>
      <w:pPr>
        <w:pStyle w:val="Corpsdetexte"/>
      </w:pPr>
      <w:r>
        <w:t xml:space="preserve">Nature juridique de la structure porteuse : Communauté d’Agglomération</w:t>
      </w:r>
    </w:p>
    <w:p>
      <w:pPr>
        <w:pStyle w:val="Corpsdetexte"/>
      </w:pPr>
      <w:r>
        <w:t xml:space="preserve">Nom de la structure porteuse : Communauté d’agglomération de l’ouest rhodanien</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l’Ouest Rhodanien, SIREN : 200040566, nature : CA</w:t>
      </w:r>
    </w:p>
    <w:p>
      <w:pPr>
        <w:numPr>
          <w:ilvl w:val="0"/>
          <w:numId w:val="1001"/>
        </w:numPr>
        <w:pStyle w:val="Compact"/>
      </w:pPr>
      <w:r>
        <w:t xml:space="preserve">nom : Rhône, SIREN : 69,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Projet de territoire</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OPAH-RU Tarare</w:t>
      </w:r>
    </w:p>
    <w:p>
      <w:pPr>
        <w:numPr>
          <w:ilvl w:val="0"/>
          <w:numId w:val="1003"/>
        </w:numPr>
        <w:pStyle w:val="Compact"/>
      </w:pPr>
      <w:r>
        <w:t xml:space="preserve">OPAH-RU Amplepuis</w:t>
      </w:r>
    </w:p>
    <w:p>
      <w:pPr>
        <w:numPr>
          <w:ilvl w:val="0"/>
          <w:numId w:val="1003"/>
        </w:numPr>
        <w:pStyle w:val="Compact"/>
      </w:pPr>
      <w:r>
        <w:t xml:space="preserve">OPAH-RU Thizy-les-bourgs et Cours</w:t>
      </w:r>
    </w:p>
    <w:p>
      <w:pPr>
        <w:numPr>
          <w:ilvl w:val="0"/>
          <w:numId w:val="1003"/>
        </w:numPr>
        <w:pStyle w:val="Compact"/>
      </w:pPr>
      <w:r>
        <w:t xml:space="preserve">PIG de la COR</w:t>
      </w:r>
    </w:p>
    <w:p>
      <w:pPr>
        <w:numPr>
          <w:ilvl w:val="0"/>
          <w:numId w:val="1003"/>
        </w:numPr>
        <w:pStyle w:val="Compact"/>
      </w:pPr>
      <w:r>
        <w:t xml:space="preserve">Convention intercommunale du logement</w:t>
      </w:r>
    </w:p>
    <w:p>
      <w:pPr>
        <w:numPr>
          <w:ilvl w:val="0"/>
          <w:numId w:val="1003"/>
        </w:numPr>
        <w:pStyle w:val="Compact"/>
      </w:pPr>
      <w:r>
        <w:t xml:space="preserve">Convention intercommunale d’attribution</w:t>
      </w:r>
    </w:p>
    <w:p>
      <w:pPr>
        <w:numPr>
          <w:ilvl w:val="0"/>
          <w:numId w:val="1003"/>
        </w:numPr>
        <w:pStyle w:val="Compact"/>
      </w:pPr>
      <w:r>
        <w:t xml:space="preserve">plan partenarial de gestion de la demande de logement social et d’information des demandeurs</w:t>
      </w:r>
    </w:p>
    <w:p>
      <w:pPr>
        <w:numPr>
          <w:ilvl w:val="0"/>
          <w:numId w:val="1003"/>
        </w:numPr>
        <w:pStyle w:val="Compact"/>
      </w:pPr>
      <w:r>
        <w:t xml:space="preserve">Protocole Habitat</w:t>
      </w:r>
    </w:p>
    <w:p>
      <w:pPr>
        <w:numPr>
          <w:ilvl w:val="0"/>
          <w:numId w:val="1003"/>
        </w:numPr>
        <w:pStyle w:val="Compact"/>
      </w:pPr>
      <w:r>
        <w:t xml:space="preserve">Contrat de ville</w:t>
      </w:r>
    </w:p>
    <w:p>
      <w:pPr>
        <w:numPr>
          <w:ilvl w:val="0"/>
          <w:numId w:val="1003"/>
        </w:numPr>
        <w:pStyle w:val="Compact"/>
      </w:pPr>
      <w:r>
        <w:t xml:space="preserve">Contrat de développement des énergies renouvelables thermiques</w:t>
      </w:r>
    </w:p>
    <w:p>
      <w:pPr>
        <w:numPr>
          <w:ilvl w:val="0"/>
          <w:numId w:val="1003"/>
        </w:numPr>
        <w:pStyle w:val="Compact"/>
      </w:pPr>
      <w:r>
        <w:t xml:space="preserve">Contrat territorial d’éducation artistique et culturelle (CTEAC)</w:t>
      </w:r>
    </w:p>
    <w:p>
      <w:pPr>
        <w:numPr>
          <w:ilvl w:val="0"/>
          <w:numId w:val="1003"/>
        </w:numPr>
        <w:pStyle w:val="Compact"/>
      </w:pPr>
      <w:r>
        <w:t xml:space="preserve">Programme d’actions de prévention des inondations Brévenne-Turdine</w:t>
      </w:r>
    </w:p>
    <w:p>
      <w:pPr>
        <w:numPr>
          <w:ilvl w:val="0"/>
          <w:numId w:val="1003"/>
        </w:numPr>
        <w:pStyle w:val="Compact"/>
      </w:pPr>
      <w:r>
        <w:t xml:space="preserve">Programme d’actions du contrat territorial Rhins Rhodon Trambouzan</w:t>
      </w:r>
    </w:p>
    <w:p>
      <w:pPr>
        <w:numPr>
          <w:ilvl w:val="0"/>
          <w:numId w:val="1003"/>
        </w:numPr>
        <w:pStyle w:val="Compact"/>
      </w:pPr>
      <w:r>
        <w:t xml:space="preserve">Programme d’actions du syndicat mixte du bassin versant de l’Azergues</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Faire de la transition écologique le fil rouge du projet de territoire et promouvoi une croissance raisonnée assurant le développement du territoire, la préservation des équilibres environnementaux et le maintien de l’identité et de la qualité de vie</w:t>
      </w:r>
    </w:p>
    <w:p>
      <w:pPr>
        <w:numPr>
          <w:ilvl w:val="0"/>
          <w:numId w:val="1005"/>
        </w:numPr>
        <w:pStyle w:val="Compact"/>
      </w:pPr>
      <w:r>
        <w:t xml:space="preserve">Mettre en oeuvre une stratégie globale de renforcement de l’attractivité du territoire construite sur la qualité de l’habitat, les opportunités d’emploi, le niveau de services et les aménités du territoires</w:t>
      </w:r>
    </w:p>
    <w:p>
      <w:pPr>
        <w:numPr>
          <w:ilvl w:val="0"/>
          <w:numId w:val="1005"/>
        </w:numPr>
        <w:pStyle w:val="Compact"/>
      </w:pPr>
      <w:r>
        <w:t xml:space="preserve">Lutter contre un développement du territoire à 2 vitesses et organiser la cohérence et les solidarités territoriales</w:t>
      </w:r>
    </w:p>
    <w:p>
      <w:pPr>
        <w:pStyle w:val="FirstParagraph"/>
      </w:pPr>
      <w:r>
        <w:t xml:space="preserve">Réalisation d’un diagnostic initial du territoire : Non</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Infrastructure(s) et réseaux (numérique, eau,chaleur…)</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Efficacité énergétique</w:t>
      </w:r>
    </w:p>
    <w:p>
      <w:pPr>
        <w:numPr>
          <w:ilvl w:val="0"/>
          <w:numId w:val="1006"/>
        </w:numPr>
        <w:pStyle w:val="Compact"/>
      </w:pPr>
      <w:r>
        <w:t xml:space="preserve">Véhicules électriques, hybrides, GNV, bornes de recharge…</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Espaces publics, espaces verts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140</w:t>
      </w:r>
    </w:p>
    <w:p>
      <w:pPr>
        <w:pStyle w:val="Corpsdetexte"/>
      </w:pPr>
      <w:r>
        <w:t xml:space="preserve">Nombre de fiches projet (opération à travailler) : 224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Rhône, SIREN : 69, nature : departement</w:t>
      </w:r>
    </w:p>
    <w:p>
      <w:pPr>
        <w:numPr>
          <w:ilvl w:val="0"/>
          <w:numId w:val="1007"/>
        </w:numPr>
        <w:pStyle w:val="Compact"/>
      </w:pPr>
      <w:r>
        <w:t xml:space="preserve">nom : CA de l’Ouest Rhodanien, SIREN : 200040566, nature : CA</w:t>
      </w:r>
    </w:p>
    <w:p>
      <w:pPr>
        <w:numPr>
          <w:ilvl w:val="0"/>
          <w:numId w:val="1007"/>
        </w:numPr>
        <w:pStyle w:val="Compact"/>
      </w:pPr>
      <w:r>
        <w:t xml:space="preserve">Etat</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Entreprises</w:t>
      </w:r>
    </w:p>
    <w:p>
      <w:pPr>
        <w:numPr>
          <w:ilvl w:val="0"/>
          <w:numId w:val="1008"/>
        </w:numPr>
        <w:pStyle w:val="Compact"/>
      </w:pPr>
      <w:r>
        <w:t xml:space="preserve">Associations</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229.34M€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2023-04-12T12:31:25Z</dcterms:created>
  <dcterms:modified xsi:type="dcterms:W3CDTF">2023-04-12T12:31:25Z</dcterms:modified>
</cp:coreProperties>
</file>

<file path=docProps/custom.xml><?xml version="1.0" encoding="utf-8"?>
<Properties xmlns="http://schemas.openxmlformats.org/officeDocument/2006/custom-properties" xmlns:vt="http://schemas.openxmlformats.org/officeDocument/2006/docPropsVTypes"/>
</file>