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re1"/>
      </w:pPr>
      <w:bookmarkStart w:id="20" w:name="informations-générales"/>
      <w:r>
        <w:t xml:space="preserve">Informations générales</w:t>
      </w:r>
      <w:bookmarkEnd w:id="20"/>
    </w:p>
    <w:p>
      <w:pPr>
        <w:pStyle w:val="FirstParagraph"/>
      </w:pPr>
      <w:r>
        <w:t xml:space="preserve">Email de contact : anais.rinnert@haut-rhin.gouv.fr</w:t>
      </w:r>
    </w:p>
    <w:p>
      <w:pPr>
        <w:pStyle w:val="Corpsdetexte"/>
      </w:pPr>
      <w:r>
        <w:t xml:space="preserve">Date de signature du CRTE : 03 mars 2022</w:t>
      </w:r>
    </w:p>
    <w:p>
      <w:pPr>
        <w:pStyle w:val="Corpsdetexte"/>
      </w:pPr>
      <w:r>
        <w:t xml:space="preserve">Nature juridique de la structure porteuse : Communauté d’Agglomération</w:t>
      </w:r>
    </w:p>
    <w:p>
      <w:pPr>
        <w:pStyle w:val="Corpsdetexte"/>
      </w:pPr>
      <w:r>
        <w:t xml:space="preserve">Nom de la structure porteuse : Colmar Agglomération</w:t>
      </w:r>
    </w:p>
    <w:p>
      <w:pPr>
        <w:pStyle w:val="Corpsdetexte"/>
      </w:pPr>
      <w:r>
        <w:t xml:space="preserve">Si protocole de préfiguration : date de signature : 2021-06-25</w:t>
      </w:r>
    </w:p>
    <w:p>
      <w:pPr>
        <w:pStyle w:val="Titre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nom : CA Colmar Agglomération, SIREN : 246800726, nature : CA</w:t>
      </w:r>
    </w:p>
    <w:p>
      <w:pPr>
        <w:numPr>
          <w:ilvl w:val="0"/>
          <w:numId w:val="1001"/>
        </w:numPr>
        <w:pStyle w:val="Compact"/>
      </w:pPr>
      <w:r>
        <w:t xml:space="preserve">nom : Grand Est, SIREN : 44, nature : region</w:t>
      </w:r>
    </w:p>
    <w:p>
      <w:pPr>
        <w:numPr>
          <w:ilvl w:val="0"/>
          <w:numId w:val="1001"/>
        </w:numPr>
        <w:pStyle w:val="Compact"/>
      </w:pPr>
      <w:r>
        <w:t xml:space="preserve">nom : Haut-Rhin, SIREN : 68, nature : departement</w:t>
      </w:r>
    </w:p>
    <w:p>
      <w:pPr>
        <w:numPr>
          <w:ilvl w:val="0"/>
          <w:numId w:val="1001"/>
        </w:numPr>
        <w:pStyle w:val="Compact"/>
      </w:pPr>
      <w:r>
        <w:t xml:space="preserve">Collectivité européenne d’Alsace</w:t>
      </w:r>
    </w:p>
    <w:p>
      <w:pPr>
        <w:pStyle w:val="Titre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PCAET</w:t>
      </w:r>
    </w:p>
    <w:p>
      <w:pPr>
        <w:numPr>
          <w:ilvl w:val="0"/>
          <w:numId w:val="1002"/>
        </w:numPr>
        <w:pStyle w:val="Compact"/>
      </w:pPr>
      <w:r>
        <w:t xml:space="preserve">SCOT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Pacte Offensive Croissance Emploi</w:t>
      </w:r>
    </w:p>
    <w:p>
      <w:pPr>
        <w:numPr>
          <w:ilvl w:val="0"/>
          <w:numId w:val="1003"/>
        </w:numPr>
        <w:pStyle w:val="Compact"/>
      </w:pPr>
      <w:r>
        <w:t xml:space="preserve">Convention NPNRU</w:t>
      </w:r>
    </w:p>
    <w:p>
      <w:pPr>
        <w:numPr>
          <w:ilvl w:val="0"/>
          <w:numId w:val="1003"/>
        </w:numPr>
        <w:pStyle w:val="Compact"/>
      </w:pPr>
      <w:r>
        <w:t xml:space="preserve">Convention globale CAF</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Territoires d’industrie</w:t>
      </w:r>
    </w:p>
    <w:p>
      <w:pPr>
        <w:numPr>
          <w:ilvl w:val="0"/>
          <w:numId w:val="1004"/>
        </w:numPr>
        <w:pStyle w:val="Compact"/>
      </w:pPr>
      <w:r>
        <w:t xml:space="preserve">France services</w:t>
      </w:r>
    </w:p>
    <w:p>
      <w:pPr>
        <w:pStyle w:val="FirstParagraph"/>
      </w:pPr>
      <w:r>
        <w:t xml:space="preserve">Liste des orientations stratégiques, axes, ambitions, volets, objectifs… :</w:t>
      </w:r>
    </w:p>
    <w:p>
      <w:pPr>
        <w:numPr>
          <w:ilvl w:val="0"/>
          <w:numId w:val="1005"/>
        </w:numPr>
        <w:pStyle w:val="Compact"/>
      </w:pPr>
      <w:r>
        <w:t xml:space="preserve">Contrat de ville 2015-2022 et convention NPNRU -&gt; cohésion sociale, cadre de vie et renouvellement urbain, développement de l’activité économique et emploi</w:t>
      </w:r>
    </w:p>
    <w:p>
      <w:pPr>
        <w:numPr>
          <w:ilvl w:val="0"/>
          <w:numId w:val="1005"/>
        </w:numPr>
        <w:pStyle w:val="Compact"/>
      </w:pPr>
      <w:r>
        <w:t xml:space="preserve">ACV -&gt; restructuration = vers une offre attractive de l’habitat, favoriser un développement économique et commercial équilibré, développer l’accessibilité, la mobilité et les connexions, mettre en valeur les formes urbaines, l’espace public et le patrimoine, fournir l’accès aux équipements et services publics</w:t>
      </w:r>
    </w:p>
    <w:p>
      <w:pPr>
        <w:numPr>
          <w:ilvl w:val="0"/>
          <w:numId w:val="1005"/>
        </w:numPr>
        <w:pStyle w:val="Compact"/>
      </w:pPr>
      <w:r>
        <w:t xml:space="preserve">POCE -&gt; Faisabilité des zones d’activité économique, rénovation d’anciennes friches, construction de lieux pour la création et le développement des jeunes entreprises</w:t>
      </w:r>
    </w:p>
    <w:p>
      <w:pPr>
        <w:numPr>
          <w:ilvl w:val="0"/>
          <w:numId w:val="1005"/>
        </w:numPr>
        <w:pStyle w:val="Compact"/>
      </w:pPr>
      <w:r>
        <w:t xml:space="preserve">POCE -&gt; Attractivité et rayonnement international, compétitivité par l’innovation et l’accompagnement des transitions numériques</w:t>
      </w:r>
    </w:p>
    <w:p>
      <w:pPr>
        <w:numPr>
          <w:ilvl w:val="0"/>
          <w:numId w:val="1005"/>
        </w:numPr>
        <w:pStyle w:val="Compact"/>
      </w:pPr>
      <w:r>
        <w:t xml:space="preserve">PCAET -&gt; Habitat, mobilité, exemplarité de la collectivité, communication et actions dans d’autres domaines</w:t>
      </w:r>
    </w:p>
    <w:p>
      <w:pPr>
        <w:numPr>
          <w:ilvl w:val="0"/>
          <w:numId w:val="1005"/>
        </w:numPr>
        <w:pStyle w:val="Compact"/>
      </w:pPr>
      <w:r>
        <w:t xml:space="preserve">SCOT Colmar Rhin Vosges</w:t>
      </w:r>
    </w:p>
    <w:p>
      <w:pPr>
        <w:numPr>
          <w:ilvl w:val="0"/>
          <w:numId w:val="1005"/>
        </w:numPr>
        <w:pStyle w:val="Compact"/>
      </w:pPr>
      <w:r>
        <w:t xml:space="preserve">Stratégie de territoire -&gt; vers une exemplarité territoriale, un territoire accueillant où il fait bon vivre (développement structures d’accueil, outils numériques, etc.), garantir une bonne dynamique économique et d’attractivité, faciliter l’usage et le développement des mobilités actives et du transport en commun, accompagner le développement universitaire et la recherche sur le territoire</w:t>
      </w:r>
    </w:p>
    <w:p>
      <w:pPr>
        <w:pStyle w:val="FirstParagraph"/>
      </w:pPr>
      <w:r>
        <w:t xml:space="preserve">Réalisation d’un diagnostic initial du territoire : Oui</w:t>
      </w:r>
    </w:p>
    <w:p>
      <w:pPr>
        <w:pStyle w:val="Corpsdetexte"/>
      </w:pPr>
      <w:r>
        <w:t xml:space="preserve">Mise à jour du projet de territoire avec l’élaboration du CRTE : Non</w:t>
      </w:r>
    </w:p>
    <w:p>
      <w:pPr>
        <w:pStyle w:val="Titre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Ecologie industrielle et économie collaborative</w:t>
      </w:r>
    </w:p>
    <w:p>
      <w:pPr>
        <w:numPr>
          <w:ilvl w:val="0"/>
          <w:numId w:val="1006"/>
        </w:numPr>
        <w:pStyle w:val="Compact"/>
      </w:pPr>
      <w:r>
        <w:t xml:space="preserve">Sensibilisation et animation de la transition</w:t>
      </w:r>
    </w:p>
    <w:p>
      <w:pPr>
        <w:numPr>
          <w:ilvl w:val="0"/>
          <w:numId w:val="1006"/>
        </w:numPr>
        <w:pStyle w:val="Compact"/>
      </w:pPr>
      <w:r>
        <w:t xml:space="preserve">Emploi et Insertion</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Réseaux verts et intelligents</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Culture et patrimoine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83</w:t>
      </w:r>
    </w:p>
    <w:p>
      <w:pPr>
        <w:pStyle w:val="Corpsdetexte"/>
      </w:pPr>
      <w:r>
        <w:t xml:space="preserve">Nombre de fiches projet (opération à travailler) : 74</w:t>
      </w:r>
    </w:p>
    <w:p>
      <w:pPr>
        <w:pStyle w:val="Titre1"/>
      </w:pPr>
      <w:bookmarkStart w:id="24" w:name="gouvernance-et-évaluation"/>
      <w:r>
        <w:t xml:space="preserve">Gouvernance et évaluation</w:t>
      </w:r>
      <w:bookmarkEnd w:id="24"/>
    </w:p>
    <w:p>
      <w:pPr>
        <w:pStyle w:val="FirstParagraph"/>
      </w:pPr>
      <w:r>
        <w:t xml:space="preserve">composition du COPIL :</w:t>
      </w:r>
    </w:p>
    <w:p>
      <w:pPr>
        <w:numPr>
          <w:ilvl w:val="0"/>
          <w:numId w:val="1007"/>
        </w:numPr>
        <w:pStyle w:val="Compact"/>
      </w:pPr>
      <w:r>
        <w:t xml:space="preserve">nom : CA Colmar Agglomération, SIREN : 246800726, nature : CA</w:t>
      </w:r>
    </w:p>
    <w:p>
      <w:pPr>
        <w:numPr>
          <w:ilvl w:val="0"/>
          <w:numId w:val="1007"/>
        </w:numPr>
        <w:pStyle w:val="Compact"/>
      </w:pPr>
      <w:r>
        <w:t xml:space="preserve">nom : Grand Est, SIREN : 44, nature : region</w:t>
      </w:r>
    </w:p>
    <w:p>
      <w:pPr>
        <w:numPr>
          <w:ilvl w:val="0"/>
          <w:numId w:val="1007"/>
        </w:numPr>
        <w:pStyle w:val="Compact"/>
      </w:pPr>
      <w:r>
        <w:t xml:space="preserve">nom : Haut-Rhin, SIREN : 68, nature : departement</w:t>
      </w:r>
    </w:p>
    <w:p>
      <w:pPr>
        <w:numPr>
          <w:ilvl w:val="0"/>
          <w:numId w:val="1007"/>
        </w:numPr>
        <w:pStyle w:val="Compact"/>
      </w:pPr>
      <w:r>
        <w:t xml:space="preserve">Collectivité européenne d’Alsace</w:t>
      </w:r>
    </w:p>
    <w:p>
      <w:pPr>
        <w:pStyle w:val="FirstParagraph"/>
      </w:pPr>
      <w:r>
        <w:t xml:space="preserve">Liste des instances de partenariat mobilisées ou créées :</w:t>
      </w:r>
    </w:p>
    <w:p>
      <w:pPr>
        <w:numPr>
          <w:ilvl w:val="0"/>
          <w:numId w:val="1008"/>
        </w:numPr>
        <w:pStyle w:val="Compact"/>
      </w:pPr>
      <w:r>
        <w:t xml:space="preserve">Conférence des maires</w:t>
      </w:r>
    </w:p>
    <w:p>
      <w:pPr>
        <w:pStyle w:val="FirstParagraph"/>
      </w:pPr>
      <w:r>
        <w:t xml:space="preserve">Fréquence prévisionnelle annuelle de réunion du COPIL : None</w:t>
      </w:r>
    </w:p>
    <w:p>
      <w:pPr>
        <w:pStyle w:val="Corpsdetexte"/>
      </w:pPr>
      <w:r>
        <w:t xml:space="preserve">Fréquence prévisionnelle annuelle de réunion du comité technique : None</w:t>
      </w:r>
    </w:p>
    <w:p>
      <w:pPr>
        <w:pStyle w:val="Corpsdetexte"/>
      </w:pPr>
      <w:r>
        <w:t xml:space="preserve">Liste des partenaires socio-économiques :</w:t>
      </w:r>
    </w:p>
    <w:p>
      <w:pPr>
        <w:pStyle w:val="Corpsdetexte"/>
      </w:pPr>
      <w:r>
        <w:t xml:space="preserve">Démarches de co-construction du CRTE : None</w:t>
      </w:r>
    </w:p>
    <w:p>
      <w:pPr>
        <w:pStyle w:val="Corpsdetexte"/>
      </w:pPr>
      <w:r>
        <w:t xml:space="preserve">Existence d’un volet de coopération interterritoriale (dont volet transfrontalier) : Non</w:t>
      </w:r>
    </w:p>
    <w:p>
      <w:pPr>
        <w:pStyle w:val="Titre2"/>
      </w:pPr>
      <w:bookmarkStart w:id="25" w:name="Xf583ce9a2f12b372527ffe5c5c594a344f34da9"/>
      <w:r>
        <w:t xml:space="preserve">Domaines d’action publique de la coopération interterritoriale :</w:t>
      </w:r>
      <w:bookmarkEnd w:id="25"/>
    </w:p>
    <w:p>
      <w:pPr>
        <w:pStyle w:val="FirstParagraph"/>
      </w:pPr>
      <w:r>
        <w:t xml:space="preserve">Définition d’indicateurs de suivi des objectifs opérationnels du CRTE : Non</w:t>
      </w:r>
    </w:p>
    <w:p>
      <w:pPr>
        <w:pStyle w:val="Corpsdetexte"/>
      </w:pPr>
      <w:r>
        <w:t xml:space="preserve">État des lieux écologique renseigné à l’aune des 13 indicateurs du socle national : Oui</w:t>
      </w:r>
    </w:p>
    <w:p>
      <w:pPr>
        <w:pStyle w:val="Corpsdetexte"/>
      </w:pPr>
      <w:r>
        <w:t xml:space="preserve">Recours à la grille d’analyse ex-ante des actions :</w:t>
      </w:r>
    </w:p>
    <w:p>
      <w:pPr>
        <w:pStyle w:val="Titre1"/>
      </w:pPr>
      <w:bookmarkStart w:id="26" w:name="ingénierie-et-financement"/>
      <w:r>
        <w:t xml:space="preserve">Ingénierie et financement</w:t>
      </w:r>
      <w:bookmarkEnd w:id="26"/>
    </w:p>
    <w:p>
      <w:pPr>
        <w:pStyle w:val="FirstParagraph"/>
      </w:pPr>
      <w:r>
        <w:t xml:space="preserve">Recrutement d’un chef de projet / chargé de mission dédié : Oui</w:t>
      </w:r>
    </w:p>
    <w:p>
      <w:pPr>
        <w:pStyle w:val="Corpsdetexte"/>
      </w:pPr>
      <w:r>
        <w:t xml:space="preserve">Recrutement d’un volontaire territorial en administration : Non</w:t>
      </w:r>
    </w:p>
    <w:p>
      <w:pPr>
        <w:pStyle w:val="Corpsdetexte"/>
      </w:pPr>
      <w:r>
        <w:t xml:space="preserve">Mobilisation de l’ingénierie locale : -</w:t>
      </w:r>
    </w:p>
    <w:p>
      <w:pPr>
        <w:pStyle w:val="Corpsdetexte"/>
      </w:pPr>
      <w:r>
        <w:t xml:space="preserve">Mobilisation d’une ingénierie externe :</w:t>
      </w:r>
    </w:p>
    <w:p>
      <w:pPr>
        <w:pStyle w:val="Corpsdetexte"/>
      </w:pPr>
      <w:r>
        <w:t xml:space="preserve">Existence d’une maquette financière annexée (ou d’un état récapitulatif des différents financements) au jour de la signature du contrat : Non</w:t>
      </w:r>
    </w:p>
    <w:p>
      <w:pPr>
        <w:pStyle w:val="Corpsdetexte"/>
      </w:pPr>
      <w:r>
        <w:t xml:space="preserve">Montant total prévisionnel en euros des actions en dépenses de fonctionnement : -€</w:t>
      </w:r>
    </w:p>
    <w:p>
      <w:pPr>
        <w:pStyle w:val="Corpsdetexte"/>
      </w:pPr>
      <w:r>
        <w:t xml:space="preserve">Montant total prévisionnel en euros des actions en dépenses d’investissement : -€</w:t>
      </w:r>
    </w:p>
    <w:p>
      <w:pPr>
        <w:pStyle w:val="Corpsdetexte"/>
      </w:pPr>
      <w:r>
        <w:t xml:space="preserve">Montant total en euros des engagements financiers des collectivités locales et leurs établissements publics : -€</w:t>
      </w:r>
    </w:p>
    <w:p>
      <w:pPr>
        <w:pStyle w:val="Corpsdetexte"/>
      </w:pPr>
      <w:r>
        <w:t xml:space="preserve">Montant total en euros des engagements financiers de l’Etat et de ses opérateurs Plan de relance : -€</w:t>
      </w:r>
    </w:p>
    <w:p>
      <w:pPr>
        <w:pStyle w:val="Corpsdetexte"/>
      </w:pPr>
      <w:r>
        <w:t xml:space="preserve">Montant total en euros des engagements financiers de l’Etat et de ses opérateurs hors plan de relance : -€</w:t>
      </w:r>
    </w:p>
    <w:p>
      <w:pPr>
        <w:pStyle w:val="Corpsdetexte"/>
      </w:pPr>
      <w:r>
        <w:t xml:space="preserve">Montant total prévisionnel en euros des cofinancements européens : -€</w:t>
      </w:r>
    </w:p>
    <w:p>
      <w:pPr>
        <w:pStyle w:val="Corpsdetexte"/>
      </w:pPr>
      <w:r>
        <w:t xml:space="preserve">Montant total prévisionnel en euros des cofinancements privés : -€</w:t>
      </w:r>
    </w:p>
    <w:p>
      <w:pPr>
        <w:pStyle w:val="Corpsdetexte"/>
      </w:pPr>
      <w:r>
        <w:t xml:space="preserve">Montant en euros des engagements financiers de la Banque des territoires : - €</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2023-04-12T12:31:09Z</dcterms:created>
  <dcterms:modified xsi:type="dcterms:W3CDTF">2023-04-12T12:31:09Z</dcterms:modified>
</cp:coreProperties>
</file>

<file path=docProps/custom.xml><?xml version="1.0" encoding="utf-8"?>
<Properties xmlns="http://schemas.openxmlformats.org/officeDocument/2006/custom-properties" xmlns:vt="http://schemas.openxmlformats.org/officeDocument/2006/docPropsVTypes"/>
</file>