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Corpsdetexte"/>
      </w:pPr>
      <w:r>
        <w:t xml:space="preserve">Date de signature du CRTE : 22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Plateau Picard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Plateau Picard, SIREN : 246000566, nature : CC</w:t>
      </w:r>
    </w:p>
    <w:p>
      <w:pPr>
        <w:numPr>
          <w:ilvl w:val="0"/>
          <w:numId w:val="1001"/>
        </w:numPr>
        <w:pStyle w:val="Compact"/>
      </w:pPr>
      <w:r>
        <w:t xml:space="preserve">Préfète 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 en cours d’élaboration : La structure porteuse du SCoT, le Syndicat mixte de l’Oise et du Plateau Picard (SMOPP), portera également le PCAET dont la réflexion est aussi engagée à l’échelle des 2 intercommunalités (104 communes).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Un dispositif d’aide à la rénovation énergétique des logements privés et communaux en place depuis plus de 10 ans</w:t>
      </w:r>
    </w:p>
    <w:p>
      <w:pPr>
        <w:numPr>
          <w:ilvl w:val="0"/>
          <w:numId w:val="1003"/>
        </w:numPr>
        <w:pStyle w:val="Compact"/>
      </w:pPr>
      <w:r>
        <w:t xml:space="preserve">Des conventions avec la CMA Hauts de France, la CCI Hauts de France et BGE Picardie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EPE</w:t>
      </w:r>
    </w:p>
    <w:p>
      <w:pPr>
        <w:numPr>
          <w:ilvl w:val="0"/>
          <w:numId w:val="1003"/>
        </w:numPr>
        <w:pStyle w:val="Compact"/>
      </w:pPr>
      <w:r>
        <w:t xml:space="preserve">Convention Sport Santé Partagé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projet de territoire en cours d’approbation</w:t>
      </w:r>
    </w:p>
    <w:p>
      <w:pPr>
        <w:numPr>
          <w:ilvl w:val="0"/>
          <w:numId w:val="1004"/>
        </w:numPr>
        <w:pStyle w:val="Compact"/>
      </w:pPr>
      <w:r>
        <w:t xml:space="preserve">Orientation 1 - Permettre à toutes les générations de bénéficier des atouts du territoire</w:t>
      </w:r>
    </w:p>
    <w:p>
      <w:pPr>
        <w:numPr>
          <w:ilvl w:val="0"/>
          <w:numId w:val="1004"/>
        </w:numPr>
        <w:pStyle w:val="Compact"/>
      </w:pPr>
      <w:r>
        <w:t xml:space="preserve">Cette orientation stratégique est déclinée en 3 objectifs et 13 actions • Objectif : Diversifier l’offre de service auprès des familles :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◦ Développer l’offre de service existante en portant une réflexion sur l’amplitude horaire et la capacité d’accueil des Etablissement d’Accueil des Jeunes Enfants (EAJE)         ◦ Susciter de nouvelles vocations d’assistantes maternelles sur le territoire         ◦ Développer une offre de garde privée de proximité : MAM, crèches privées et associatives         ◦ Facilité l’accès des publics jeunes aux associations sur la totalité du territoire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Lutter contre l’isolement des séniors          ◦ Aider les communes à se doter d’un pack informatique à disposition du public         ◦ Aider les séniors à acquérir les compétences numériques générales et en faire un levier de communication         ◦ Orienter et faciliter l’accompagnement des personnes malades ou dépendantes         ◦ Développer le portage de médicaments et de courses au sein du service de portage de repas à domicile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Assurer l’accès à des services de santé          ◦ Etre attractif pour les professionnels de santé et les fidéliser          ◦ Cartographier les professionnels de santé actuellement présents sur le territoire         ◦ Créer un ou plusieurs centres de santé communautaire         ◦ Mener une réflexion sur l’attractivité des professionnels et communiquer sur ce que propose le territoire</w:t>
      </w:r>
    </w:p>
    <w:p>
      <w:pPr>
        <w:numPr>
          <w:ilvl w:val="0"/>
          <w:numId w:val="1004"/>
        </w:numPr>
        <w:pStyle w:val="Compact"/>
      </w:pPr>
      <w:r>
        <w:t xml:space="preserve">Orientation 2 - Construire un territoire durable, respectueux de l’environnement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Cette orientation stratégique est déclinée en 5 objectifs et 17 actions :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Se déplacer autrement          ◦ Optimiser les déplacements et favoriser l’utilisation collective de la voiture en renforçant la mobilité solidaire         ◦ Inciter les communes à proposer des espaces de covoiturage         ◦ Aider les citoyens à acquérir un vélo électrique         ◦ Inciter ou accompagner les communes à identifier des circuits cyclables sécurisés sur le périmètre de la communauté de communes          ◦ Inciter les habitants à utiliser la bicyclette pour les déplacements inférieurs à 5 km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renforcer la rénovation énergétique          ◦ Poursuivre le financement des rénovations énergétiques des habitations et bâtiments publics         ◦ Recenser les logements et bâtiments publics thermiquement non rénovés         ◦ Renforcer la communication sur les différentes démarches à mener pour faire de la rénovation énergétique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Réduire la production des déchets sur le territoire         ◦ Rendre les services de la CC du Plateau Picard exemplaires en matière de réduction et de recyclage de leurs déchets         ◦ Aller à la rencontre des habitants pour les sensibiliser aux bons gestes du tri         ◦ Améliorer la collecte des colonnes de tri de manière à maximiser le recyclage         ◦ Mettre en place le volet incitatif sur le financement du service par les habitants afin de récompenser les bonnes pratiques         ◦ Mettre en place un Programme Local de Prévention des Déchets 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Sécuriser la quantité et la qualité en eau potable sur le territoire          ◦ Sensibiliser les acteurs pour faire des économies de la ressource en eau (habitants, écoles, entreprises…)         ◦ Réaliser une étude patrimoniale afin de définir un programme d’actions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Assurer un système d’alimentation locale          ◦ Créer un label des producteurs du Plateau Picard         ◦ Pousser à la mutualisation des appels d’offres des cantines pour favoriser une consommation locale</w:t>
      </w:r>
    </w:p>
    <w:p>
      <w:pPr>
        <w:numPr>
          <w:ilvl w:val="0"/>
          <w:numId w:val="1004"/>
        </w:numPr>
        <w:pStyle w:val="Compact"/>
      </w:pPr>
      <w:r>
        <w:t xml:space="preserve">Orientation 3 - Renforcer l’animation et l’attractivité du territoire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Cette orientation stratégique se décline en 3 objectifs et 9 actions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Mettre en tourisme le Plateau Picard         ◦ Réaliser un recensement des besoins en matière de tourisme et de découverte du patrimoine afin de développer une offre cible          ◦ Valoriser le patrimoine, chemins, monuments et les lieux de mémoire         ◦ Créer un outil de promotion de l’offre touristique         ◦ Développer et accompagner l’offre d’hébergement touristique         ◦ Structurer la coordination de l’offre touristique sur le territoire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Diversifier l’offre culturelle, sportive et d’animation          ◦ Augmenter la fréquentation sur les manifestations culturelle de la communauté de communes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Renforcer l’attractivité économique du territoire         ◦ Améliorer l’attractivité du territoire pour attirer les cadres et les entreprises         ◦ Promouvoir les zones d’activités existantes pour créer de l’emploi en valorisant le foncier         ◦ Facilité la mobilité des actifs sur le territoire</w:t>
      </w:r>
    </w:p>
    <w:p>
      <w:pPr>
        <w:numPr>
          <w:ilvl w:val="0"/>
          <w:numId w:val="1004"/>
        </w:numPr>
        <w:pStyle w:val="Compact"/>
      </w:pPr>
      <w:r>
        <w:t xml:space="preserve">Orientation 4 - Capitaliser sur le succès du THD pour anticiper la transformation digitale</w:t>
      </w:r>
    </w:p>
    <w:p>
      <w:pPr>
        <w:numPr>
          <w:ilvl w:val="0"/>
          <w:numId w:val="1004"/>
        </w:numPr>
        <w:pStyle w:val="Compact"/>
      </w:pPr>
      <w:r>
        <w:t xml:space="preserve">Cette orientation stratégique se décline en 3 objectifs et 10 actions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Développer un écosystème numérique         ◦ Développer des espaces de coworking sur le territoire         ◦ Faciliter la visibilité numérique des petites entreprises (création de site internet, développement des réseaux sociaux…)         ◦ Rendre visible les commerces de proximité à travers une vitrine numérique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Garantir une utilisation numérique accessible à tous         ◦ Faciliter l’utilisation des outils mis à disposition dans les communes         ◦ Proposer un accompagnement physique aux démarches dématérialisées         ◦ Faciliter la mise en place de formation privées sur le numérique et favoriser l’insertion professionnelle par le numérique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• Objectif : Développer l’administration numérique         ◦ Faciliter et renforcer la dématérialisation des services communautaires          ◦ Développer une politique de la donnée pour contribuer au pilotage de l’action publique         ◦ Renforcer la sécurité des systèmes d’information         ◦ Aller vers une sobriété numérique interne 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Plateau Picard, SIREN : 246000566, nature : CC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citoyens</w:t>
      </w:r>
    </w:p>
    <w:p>
      <w:pPr>
        <w:numPr>
          <w:ilvl w:val="0"/>
          <w:numId w:val="1008"/>
        </w:numPr>
        <w:pStyle w:val="Compact"/>
      </w:pPr>
      <w:r>
        <w:t xml:space="preserve">etablissements publics</w:t>
      </w:r>
    </w:p>
    <w:p>
      <w:pPr>
        <w:numPr>
          <w:ilvl w:val="0"/>
          <w:numId w:val="1008"/>
        </w:numPr>
        <w:pStyle w:val="Compact"/>
      </w:pPr>
      <w:r>
        <w:t xml:space="preserve">opérateurs publics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368 012€</w:t>
      </w:r>
    </w:p>
    <w:p>
      <w:pPr>
        <w:pStyle w:val="Corpsdetexte"/>
      </w:pPr>
      <w:r>
        <w:t xml:space="preserve">Montant total en euros des engagements financiers de l’Etat et de ses opérateurs hors plan de relance : 1.23M€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2023-04-12T12:25:15Z</dcterms:created>
  <dcterms:modified xsi:type="dcterms:W3CDTF">2023-04-12T12:25:15Z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