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Metz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Metz Métropole, SIREN : 200039865, nature : METRO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partenariat métropolitain avec la région</w:t>
      </w:r>
    </w:p>
    <w:p>
      <w:pPr>
        <w:numPr>
          <w:ilvl w:val="0"/>
          <w:numId w:val="1003"/>
        </w:numPr>
        <w:pStyle w:val="Compact"/>
      </w:pPr>
      <w:r>
        <w:t xml:space="preserve">contrat métropolitain d’innovation avec l’Etat</w:t>
      </w:r>
    </w:p>
    <w:p>
      <w:pPr>
        <w:numPr>
          <w:ilvl w:val="0"/>
          <w:numId w:val="1003"/>
        </w:numPr>
        <w:pStyle w:val="Compact"/>
      </w:pPr>
      <w:r>
        <w:t xml:space="preserve">contrat de plan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d’objectifs et de moyens triennale entre la DRAC, la région, la ville de Metz et l’association le livre à Metz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plan logement</w:t>
      </w:r>
    </w:p>
    <w:p>
      <w:pPr>
        <w:numPr>
          <w:ilvl w:val="0"/>
          <w:numId w:val="1003"/>
        </w:numPr>
        <w:pStyle w:val="Compact"/>
      </w:pPr>
      <w:r>
        <w:t xml:space="preserve">Convention d’objectif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Ecologie (la transition alimentaire et énergétique / la nature et ses usages / la mobilité et l’accueil)</w:t>
      </w:r>
    </w:p>
    <w:p>
      <w:pPr>
        <w:numPr>
          <w:ilvl w:val="0"/>
          <w:numId w:val="1005"/>
        </w:numPr>
        <w:pStyle w:val="Compact"/>
      </w:pPr>
      <w:r>
        <w:t xml:space="preserve">Compétitivité (l’économie nord lorraine / l’intelligence collective)</w:t>
      </w:r>
    </w:p>
    <w:p>
      <w:pPr>
        <w:numPr>
          <w:ilvl w:val="0"/>
          <w:numId w:val="1005"/>
        </w:numPr>
        <w:pStyle w:val="Compact"/>
      </w:pPr>
      <w:r>
        <w:t xml:space="preserve">cohésion (intensification urbaine / action sociale / la créativité)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Metz Métropole, SIREN : 200039865, nature : METRO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2023-04-12T12:25:37Z</dcterms:created>
  <dcterms:modified xsi:type="dcterms:W3CDTF">2023-04-12T12:25:37Z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