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Corpsdetexte"/>
      </w:pPr>
      <w:r>
        <w:t xml:space="preserve">Date de signature du CRTE : 18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d’Auberive, Vingeanne et Montsaugeonnais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d’Auberive Vingeanne et Montsaugeonnais, SIREN : 200027308, nature : CC</w:t>
      </w:r>
    </w:p>
    <w:p>
      <w:pPr>
        <w:numPr>
          <w:ilvl w:val="0"/>
          <w:numId w:val="1001"/>
        </w:numPr>
        <w:pStyle w:val="Compact"/>
      </w:pPr>
      <w:r>
        <w:t xml:space="preserve">nom : PETR du Pays de Langres, SIREN : 200060754, nature : PETR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Osons nos atouts locaux - Dynamiser l’économie locale en accompagnant et valorisant les entreprises et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Misons sur l’équilibre et la proximité de nos pôles de vie - Offrir une qualité de services pour renforcer l’attractivité du territoire pour ses habitants actuels et futurs</w:t>
      </w:r>
    </w:p>
    <w:p>
      <w:pPr>
        <w:numPr>
          <w:ilvl w:val="0"/>
          <w:numId w:val="1005"/>
        </w:numPr>
        <w:pStyle w:val="Compact"/>
      </w:pPr>
      <w:r>
        <w:t xml:space="preserve">Orientation 3 : Favorisons la transition écologique - Conserver et améliorer le cadre de vie en maintenant la haute qualité environnementale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Favorisons la coopération entre les communautés de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PETR du Pays de Langres, SIREN : 200060754, nature : PETR</w:t>
      </w:r>
    </w:p>
    <w:p>
      <w:pPr>
        <w:numPr>
          <w:ilvl w:val="0"/>
          <w:numId w:val="1007"/>
        </w:numPr>
        <w:pStyle w:val="Compact"/>
      </w:pPr>
      <w:r>
        <w:t xml:space="preserve">nom : CC d’Auberive Vingeanne et Montsaugeonnais, SIREN : 200027308,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Parc National de Forêts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4.43M€</w:t>
      </w:r>
    </w:p>
    <w:p>
      <w:pPr>
        <w:pStyle w:val="Corpsdetexte"/>
      </w:pPr>
      <w:r>
        <w:t xml:space="preserve">Montant total en euros des engagements financiers des collectivités locales et leurs établissements publics : 1.81M€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2.43M€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2023-04-12T12:24:39Z</dcterms:created>
  <dcterms:modified xsi:type="dcterms:W3CDTF">2023-04-12T12:24:39Z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