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Nantes Métropole</w:t>
      </w:r>
    </w:p>
    <w:p>
      <w:pPr>
        <w:pStyle w:val="Corpsdetexte"/>
      </w:pPr>
      <w:r>
        <w:t xml:space="preserve">Si protocole de préfiguration : date de signature : 2021-02-26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numPr>
          <w:ilvl w:val="0"/>
          <w:numId w:val="1001"/>
        </w:numPr>
        <w:pStyle w:val="Compact"/>
      </w:pPr>
      <w:r>
        <w:t xml:space="preserve">PDU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Schéma de Cohérence Territoriale Nantes Saint-Nazaire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PLUm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réciprocité avec le Pays de Retz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transition écologique et solidaire</w:t>
      </w:r>
    </w:p>
    <w:p>
      <w:pPr>
        <w:numPr>
          <w:ilvl w:val="0"/>
          <w:numId w:val="1004"/>
        </w:numPr>
        <w:pStyle w:val="Compact"/>
      </w:pPr>
      <w:r>
        <w:t xml:space="preserve">Axe 2 : cohésion sociale et territoriale, proximité</w:t>
      </w:r>
    </w:p>
    <w:p>
      <w:pPr>
        <w:numPr>
          <w:ilvl w:val="0"/>
          <w:numId w:val="1004"/>
        </w:numPr>
        <w:pStyle w:val="Compact"/>
      </w:pPr>
      <w:r>
        <w:t xml:space="preserve">Axe 3 : rayonnement et alliance des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319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6"/>
        </w:numPr>
        <w:pStyle w:val="Compact"/>
      </w:pPr>
      <w:r>
        <w:t xml:space="preserve">nom : Nantes Métropole, SIREN : 244400404, nature : METRO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145.05M€</w:t>
      </w:r>
    </w:p>
    <w:p>
      <w:pPr>
        <w:pStyle w:val="Corpsdetexte"/>
      </w:pPr>
      <w:r>
        <w:t xml:space="preserve">Montant total en euros des engagements financiers de l’Etat et de ses opérateurs hors plan de relance : 16.50M€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2023-04-12T12:25:04Z</dcterms:created>
  <dcterms:modified xsi:type="dcterms:W3CDTF">2023-04-12T12:25:04Z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