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pref-crte@loire-atlantique.gouv.fr</w:t>
      </w:r>
    </w:p>
    <w:p>
      <w:pPr>
        <w:pStyle w:val="Corpsdetexte"/>
      </w:pPr>
      <w:r>
        <w:t xml:space="preserve">Date de signature du CRTE : 22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Sèvre et Loire</w:t>
      </w:r>
    </w:p>
    <w:p>
      <w:pPr>
        <w:pStyle w:val="Corpsdetexte"/>
      </w:pPr>
      <w:r>
        <w:t xml:space="preserve">Si protocole de préfiguration : date de signature : 2021-05-28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MTE</w:t>
      </w:r>
    </w:p>
    <w:p>
      <w:pPr>
        <w:numPr>
          <w:ilvl w:val="0"/>
          <w:numId w:val="1001"/>
        </w:numPr>
        <w:pStyle w:val="Compact"/>
      </w:pPr>
      <w:r>
        <w:t xml:space="preserve">nom : CC Sèvre et Loire, SIREN : 200067866, nature : CC</w:t>
      </w:r>
    </w:p>
    <w:p>
      <w:pPr>
        <w:numPr>
          <w:ilvl w:val="0"/>
          <w:numId w:val="1001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CCVHA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Schéma départemental pour l’amélioration de l’accès des services au public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Faire de la transition écologique une réalité concrète sur le territoire</w:t>
      </w:r>
    </w:p>
    <w:p>
      <w:pPr>
        <w:numPr>
          <w:ilvl w:val="0"/>
          <w:numId w:val="1005"/>
        </w:numPr>
        <w:pStyle w:val="Compact"/>
      </w:pPr>
      <w:r>
        <w:t xml:space="preserve">Favoriser l’aménagement équilibré du territoire, la dynamique économique et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Améliorer l’accès aux services publics et favoriser la cohésion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324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CC Sèvre et Loire, SIREN : 200067866, nature : CC</w:t>
      </w:r>
    </w:p>
    <w:p>
      <w:pPr>
        <w:numPr>
          <w:ilvl w:val="0"/>
          <w:numId w:val="1007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conseil de développement du Vignoble Nantais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6.46M€</w:t>
      </w:r>
    </w:p>
    <w:p>
      <w:pPr>
        <w:pStyle w:val="Corpsdetexte"/>
      </w:pPr>
      <w:r>
        <w:t xml:space="preserve">Montant total en euros des engagements financiers de l’Etat et de ses opérateurs hors plan de relance : 749 466€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2023-04-12T12:33:29Z</dcterms:created>
  <dcterms:modified xsi:type="dcterms:W3CDTF">2023-04-12T12:33:29Z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