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Brioude Sud Auvergne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Brioude Sud Auvergne, SIREN : 200085728,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3"/>
        </w:numPr>
        <w:pStyle w:val="Compact"/>
      </w:pPr>
      <w:r>
        <w:t xml:space="preserve">Accessibilité, mobilité et connexions</w:t>
      </w:r>
    </w:p>
    <w:p>
      <w:pPr>
        <w:numPr>
          <w:ilvl w:val="0"/>
          <w:numId w:val="1003"/>
        </w:numPr>
        <w:pStyle w:val="Compact"/>
      </w:pPr>
      <w:r>
        <w:t xml:space="preserve">Services, santé et équipements</w:t>
      </w:r>
    </w:p>
    <w:p>
      <w:pPr>
        <w:numPr>
          <w:ilvl w:val="0"/>
          <w:numId w:val="1003"/>
        </w:numPr>
        <w:pStyle w:val="Compact"/>
      </w:pPr>
      <w:r>
        <w:t xml:space="preserve">Favoriser la reconquête du bâti et limiter l’étalement urbain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CC Brioude Sud Auvergne, SIREN : 200085728, nature : CC</w:t>
      </w:r>
    </w:p>
    <w:p>
      <w:pPr>
        <w:numPr>
          <w:ilvl w:val="0"/>
          <w:numId w:val="1005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2023-04-12T12:31:23Z</dcterms:created>
  <dcterms:modified xsi:type="dcterms:W3CDTF">2023-04-12T12:31:23Z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