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pascale.lelu@loir-et-cher.gouv.fr</w:t>
      </w:r>
    </w:p>
    <w:p>
      <w:pPr>
        <w:pStyle w:val="Corpsdetexte"/>
      </w:pPr>
      <w:r>
        <w:t xml:space="preserve">Date de signature du CRTE : 29 novembre 2021</w:t>
      </w:r>
    </w:p>
    <w:p>
      <w:pPr>
        <w:pStyle w:val="Corpsdetexte"/>
      </w:pPr>
      <w:r>
        <w:t xml:space="preserve">Nature juridique de la structure porteuse : Communauté de communes</w:t>
      </w:r>
    </w:p>
    <w:p>
      <w:pPr>
        <w:pStyle w:val="Corpsdetexte"/>
      </w:pPr>
      <w:r>
        <w:t xml:space="preserve">Nom de la structure porteuse : Entente Beauce Val de Loire/ Grand chambord</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Grand Chambord, SIREN : 244100798, nature : CC</w:t>
      </w:r>
    </w:p>
    <w:p>
      <w:pPr>
        <w:numPr>
          <w:ilvl w:val="0"/>
          <w:numId w:val="1001"/>
        </w:numPr>
        <w:pStyle w:val="Compact"/>
      </w:pPr>
      <w:r>
        <w:t xml:space="preserve">nom : CC Beauce Val de Loire, SIREN : 200055481, nature : CC</w:t>
      </w:r>
    </w:p>
    <w:p>
      <w:pPr>
        <w:numPr>
          <w:ilvl w:val="0"/>
          <w:numId w:val="1001"/>
        </w:numPr>
        <w:pStyle w:val="Compact"/>
      </w:pPr>
      <w:r>
        <w:t xml:space="preserve">nom : Centre-Val de Loire, SIREN : 24, nature : region</w:t>
      </w:r>
    </w:p>
    <w:p>
      <w:pPr>
        <w:numPr>
          <w:ilvl w:val="0"/>
          <w:numId w:val="1001"/>
        </w:numPr>
        <w:pStyle w:val="Compact"/>
      </w:pPr>
      <w:r>
        <w:t xml:space="preserve">nom : Loir-et-Cher, SIREN : 41,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numPr>
          <w:ilvl w:val="0"/>
          <w:numId w:val="1002"/>
        </w:numPr>
        <w:pStyle w:val="Compact"/>
      </w:pPr>
      <w:r>
        <w:t xml:space="preserve">projet social de territoire</w:t>
      </w:r>
    </w:p>
    <w:p>
      <w:pPr>
        <w:numPr>
          <w:ilvl w:val="0"/>
          <w:numId w:val="1002"/>
        </w:numPr>
        <w:pStyle w:val="Compact"/>
      </w:pPr>
      <w:r>
        <w:t xml:space="preserve">PLH</w:t>
      </w:r>
    </w:p>
    <w:p>
      <w:pPr>
        <w:numPr>
          <w:ilvl w:val="0"/>
          <w:numId w:val="1002"/>
        </w:numPr>
        <w:pStyle w:val="Compact"/>
      </w:pPr>
      <w:r>
        <w:t xml:space="preserve">CRST</w:t>
      </w:r>
    </w:p>
    <w:p>
      <w:pPr>
        <w:numPr>
          <w:ilvl w:val="0"/>
          <w:numId w:val="1002"/>
        </w:numPr>
        <w:pStyle w:val="Compact"/>
      </w:pPr>
      <w:r>
        <w:t xml:space="preserve">Natura 2000</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objectif territorial ADEME</w:t>
      </w:r>
    </w:p>
    <w:p>
      <w:pPr>
        <w:numPr>
          <w:ilvl w:val="0"/>
          <w:numId w:val="1003"/>
        </w:numPr>
        <w:pStyle w:val="Compact"/>
      </w:pPr>
      <w:r>
        <w:t xml:space="preserve">Convention globale CAF</w:t>
      </w:r>
    </w:p>
    <w:p>
      <w:pPr>
        <w:numPr>
          <w:ilvl w:val="0"/>
          <w:numId w:val="1003"/>
        </w:numPr>
        <w:pStyle w:val="Compact"/>
      </w:pPr>
      <w:r>
        <w:t xml:space="preserve">OPAH</w:t>
      </w:r>
    </w:p>
    <w:p>
      <w:pPr>
        <w:numPr>
          <w:ilvl w:val="0"/>
          <w:numId w:val="1003"/>
        </w:numPr>
        <w:pStyle w:val="Compact"/>
      </w:pPr>
      <w:r>
        <w:t xml:space="preserve">CRST</w:t>
      </w:r>
    </w:p>
    <w:p>
      <w:pPr>
        <w:numPr>
          <w:ilvl w:val="0"/>
          <w:numId w:val="1003"/>
        </w:numPr>
        <w:pStyle w:val="Compact"/>
      </w:pPr>
      <w:r>
        <w:t xml:space="preserve">PACT</w:t>
      </w:r>
    </w:p>
    <w:p>
      <w:pPr>
        <w:pStyle w:val="FirstParagraph"/>
      </w:pPr>
      <w:r>
        <w:t xml:space="preserve">Liste des programmes de l’ANCT intégrés :</w:t>
      </w:r>
    </w:p>
    <w:p>
      <w:pPr>
        <w:numPr>
          <w:ilvl w:val="0"/>
          <w:numId w:val="1004"/>
        </w:numPr>
        <w:pStyle w:val="Compact"/>
      </w:pPr>
      <w:r>
        <w:t xml:space="preserve">Conseillers numériques France services</w:t>
      </w:r>
    </w:p>
    <w:p>
      <w:pPr>
        <w:numPr>
          <w:ilvl w:val="0"/>
          <w:numId w:val="1004"/>
        </w:numPr>
        <w:pStyle w:val="Compact"/>
      </w:pPr>
      <w:r>
        <w:t xml:space="preserve">France Mobile</w:t>
      </w:r>
    </w:p>
    <w:p>
      <w:pPr>
        <w:numPr>
          <w:ilvl w:val="0"/>
          <w:numId w:val="1004"/>
        </w:numPr>
        <w:pStyle w:val="Compact"/>
      </w:pPr>
      <w:r>
        <w:t xml:space="preserve">France Très-Haut débit</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Grand chambord rois principes directeurs guident l’action du bloc communal du Grand Chambord, quels que soient les domaines d’interventions concernés : • Le renforcement des approches intégrées des politiques publiques locales en s’efforçant d’intervenir de manière cohérente dans les quatre champs du développement durable : Environnement Aménagement, activités économiques, cohésion sociale et gouvernance locale • Le renforcement des missions premières de la CCGC, en tant qu’aménageur de l’espace et développeur du territoire. Il s’agit ici de conforter les politiques d’animation du territoire au-delà de la gestion de services et des équipements à la population • L’articulation optimale des échelles d’intervention par application du principe de subsidiarité, en recherchant systématiquement l’échelle la plus adaptée et en distinguant les portages communautaires, les portage infra communautaires (commune ou mutualisation intercommunale) et les portage supra communautaires (entente intercommunautaire CCGC-CCBVL, Pays, SCOT, Syndicats mixtes, etc.).</w:t>
      </w:r>
    </w:p>
    <w:p>
      <w:pPr>
        <w:numPr>
          <w:ilvl w:val="0"/>
          <w:numId w:val="1005"/>
        </w:numPr>
        <w:pStyle w:val="Compact"/>
      </w:pPr>
      <w:r>
        <w:t xml:space="preserve">Beauce Val de Loire nouveau Enjeux pour le Développement économique et le Tourismecyle de développement économique autour d’uen économie de proximité, mise en valeur du cadre de vie et territoire, enjeux pour la petite enfance, le scolaire, la Jeunesse et l’enseignement musical.mainttien répartition de l’offre petite enfance,njeux pour la GEMAPI, la Voirie, la collecte et le traitement des déchets. risques personnes, biens et environnement, gestion qualitative ressource en eau, élargissement de la compétence au cycle de l’eau, gestion des digues de loire partenariale, enjeux transversaux, développement tourisme, pistes cyclables,intégration DD, Rôle de l’intercommunalité</w:t>
      </w:r>
    </w:p>
    <w:p>
      <w:pPr>
        <w:numPr>
          <w:ilvl w:val="0"/>
          <w:numId w:val="1005"/>
        </w:numPr>
        <w:pStyle w:val="Compact"/>
      </w:pPr>
      <w:r>
        <w:t xml:space="preserve">en commun : harmonisation dans leurs réflexions stratégiques et prospectives.transition économique. réflexion commune autour du tourisme et de la mise en valeur de ses atouts patrimoniaux, naturels et paysager agriculture ; nouvelles filières diversifiées (maraîchage, viticulture, filière bois, éco-matériaux…), dans la valorisation et la préservation des terres agricoles existantes, dans l’accompagnement à la relocalisation alimentaire (circuit-courts, partenariats pour les équipements scolaires, transformation sur le territoire…).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Opération de requalification (friches…)</w:t>
      </w:r>
    </w:p>
    <w:p>
      <w:pPr>
        <w:numPr>
          <w:ilvl w:val="0"/>
          <w:numId w:val="1006"/>
        </w:numPr>
        <w:pStyle w:val="Compact"/>
      </w:pPr>
      <w:r>
        <w:t xml:space="preserve">Commerce, artisanat de proximité</w:t>
      </w:r>
    </w:p>
    <w:p>
      <w:pPr>
        <w:numPr>
          <w:ilvl w:val="0"/>
          <w:numId w:val="1006"/>
        </w:numPr>
        <w:pStyle w:val="Compact"/>
      </w:pPr>
      <w:r>
        <w:t xml:space="preserve">Economie, production et consommation durable</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pStyle w:val="FirstParagraph"/>
      </w:pPr>
      <w:r>
        <w:t xml:space="preserve">Nombre de fiches action (opération prête à démarrer) : 42</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Etat</w:t>
      </w:r>
    </w:p>
    <w:p>
      <w:pPr>
        <w:numPr>
          <w:ilvl w:val="0"/>
          <w:numId w:val="1007"/>
        </w:numPr>
        <w:pStyle w:val="Compact"/>
      </w:pPr>
      <w:r>
        <w:t xml:space="preserve">nom : CC Beauce Val de Loire, SIREN : 200055481, nature : CC</w:t>
      </w:r>
    </w:p>
    <w:p>
      <w:pPr>
        <w:numPr>
          <w:ilvl w:val="0"/>
          <w:numId w:val="1007"/>
        </w:numPr>
        <w:pStyle w:val="Compact"/>
      </w:pPr>
      <w:r>
        <w:t xml:space="preserve">nom : CC du Grand Chambord, SIREN : 244100798, nature : CC</w:t>
      </w:r>
    </w:p>
    <w:p>
      <w:pPr>
        <w:numPr>
          <w:ilvl w:val="0"/>
          <w:numId w:val="1007"/>
        </w:numPr>
        <w:pStyle w:val="Compact"/>
      </w:pPr>
      <w:r>
        <w:t xml:space="preserve">nom : Centre-Val de Loire, SIREN : 24, nature : region</w:t>
      </w:r>
    </w:p>
    <w:p>
      <w:pPr>
        <w:numPr>
          <w:ilvl w:val="0"/>
          <w:numId w:val="1007"/>
        </w:numPr>
        <w:pStyle w:val="Compact"/>
      </w:pPr>
      <w:r>
        <w:t xml:space="preserve">nom : Loir-et-Cher, SIREN : 41, nature : departement</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entreprises associations citoyens chambres consulaires</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2023-04-12T12:31:54Z</dcterms:created>
  <dcterms:modified xsi:type="dcterms:W3CDTF">2023-04-12T12:31:54Z</dcterms:modified>
</cp:coreProperties>
</file>

<file path=docProps/custom.xml><?xml version="1.0" encoding="utf-8"?>
<Properties xmlns="http://schemas.openxmlformats.org/officeDocument/2006/custom-properties" xmlns:vt="http://schemas.openxmlformats.org/officeDocument/2006/docPropsVTypes"/>
</file>